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1080-BU000-IZP-0701</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 </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kompetencje społeczne</w:t>
      </w:r>
      <w:bookmarkEnd w:id="3"/>
    </w:p>
    <w:p>
      <w:pPr>
        <w:keepNext w:val="1"/>
        <w:spacing w:after="10"/>
      </w:pPr>
      <w:r>
        <w:rPr>
          <w:b/>
          <w:bCs/>
        </w:rPr>
        <w:t xml:space="preserve">Charakterystyka K1: </w:t>
      </w:r>
    </w:p>
    <w:p>
      <w:pPr/>
      <w:r>
        <w:rPr/>
        <w:t xml:space="preserve">Jest świadomy odpowiedzialności za bezpieczeństwo pracy własnej i zespołu. Jest świadomy
zagrożeń występujących w budownictwie.</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K1_K04, K1_K07</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2026-10-01T14:08:57+02:00</dcterms:created>
  <dcterms:modified xsi:type="dcterms:W3CDTF">2026-10-01T14:08:57+02:00</dcterms:modified>
</cp:coreProperties>
</file>

<file path=docProps/custom.xml><?xml version="1.0" encoding="utf-8"?>
<Properties xmlns="http://schemas.openxmlformats.org/officeDocument/2006/custom-properties" xmlns:vt="http://schemas.openxmlformats.org/officeDocument/2006/docPropsVTypes"/>
</file>