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 a szerzej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dowolne, wybrane fragmenty).
Literatura uzupełniająca:
1. Stacewicz P. (red.), Informatyka a filozofia. Od informatyki i jej zastosowań do światopoglądu informatycznego, OWPW, Warszawa 2015. Wybrane fragmenty.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
Ma podstawową wiedzę z obszaru nauk społecznych, humanistycznych i pokrewnych.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 : </w:t>
      </w:r>
    </w:p>
    <w:p>
      <w:pPr/>
      <w:r>
        <w:rPr/>
        <w:t xml:space="preserve">Umie myśleć krytycznie.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
Umie postrzegać złożoność problemów sytuacji kryzysowych, ich przyczyny i skutki społeczne, prawne, ekonomiczne i techniczne w całej złożoności, z uwzględnieniem wielu uwarunkowań społecznych i technicznych.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K_K05: </w:t>
      </w:r>
    </w:p>
    <w:p>
      <w:pPr/>
      <w:r>
        <w:rPr/>
        <w:t xml:space="preserve">
Wykazuje zdolność do formułowania opinii w ważnych sprawach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2026-08-20T13:59:36+02:00</dcterms:created>
  <dcterms:modified xsi:type="dcterms:W3CDTF">2026-08-20T13:59:36+02:00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