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przeciwpożarowe</w:t>
      </w:r>
    </w:p>
    <w:p>
      <w:pPr>
        <w:keepNext w:val="1"/>
        <w:spacing w:after="10"/>
      </w:pPr>
      <w:r>
        <w:rPr>
          <w:b/>
          <w:bCs/>
        </w:rPr>
        <w:t xml:space="preserve">Koordynator przedmiotu: </w:t>
      </w:r>
    </w:p>
    <w:p>
      <w:pPr>
        <w:spacing w:before="20" w:after="190"/>
      </w:pPr>
      <w:r>
        <w:rPr/>
        <w:t xml:space="preserve">dr hab.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1110-ISISW-ISP-7414</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projektowe - 30 godz., przygotowanie do zajęć projektowych - 20 godz., zapoznanie się z literaturą - 20 godz., przygotowanie projektu i obrona - 35 godz., przygotowanie do zaliczenia i obecność na nim - 30 godz. Razem: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mechaniki płynów (obliczenia przepływu, start ciśnienia, dobór średnic, umiejętność analizowania zmiany rozkładu ciśnienia na długości instalacji) oraz umiejętność projektowania instalacji wodociągowych.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hydrantowych wewnętrznych według stosowanych przepisów. Opanowana przez studenta wiedza pozwoli mu na samodzielne wykonanie obliczeń dla prostego układu instalacji oraz pozwoli zrozumieć specyfikę pracy instalacji przeciwpożarowej oraz jej współpracy z innymi instalacjami wewnętrznymi. Ponadto Student zdobędzie wiedzę o różnych typach instalacji ochrony przeciwpożarowej w zależności od chronionej przestrzeni</w:t>
      </w:r>
    </w:p>
    <w:p>
      <w:pPr>
        <w:keepNext w:val="1"/>
        <w:spacing w:after="10"/>
      </w:pPr>
      <w:r>
        <w:rPr>
          <w:b/>
          <w:bCs/>
        </w:rPr>
        <w:t xml:space="preserve">Treści kształcenia: </w:t>
      </w:r>
    </w:p>
    <w:p>
      <w:pPr>
        <w:spacing w:before="20" w:after="190"/>
      </w:pPr>
      <w:r>
        <w:rPr/>
        <w:t xml:space="preserve">W zakresie przedmiotu omawiane są zagadnienia: 
1.	Podstawy prawne wskazujące na obowiązek stosowania półstałych i stałych urządzeń przeciwpożarowych (Ustawy, Rozporządzenia).
2.	Omówienie różnych typów instalacji przeciwpożarowych, tj.: instalacje tryskaczowe, zraszaczowe, mgłowe, pianowe, gazowe, inertyzacji, hydrantowe. 
3.	Szczegółowo omówione zostaną półstałe urządzenie gaśnicze - wewnętrzne instalacje hydrantowe. 
4.	Wykonany zostanie projekt instalacji hydrantowych, z doborem średnic i obliczeniem wymaganego wydatku i ciśnienia, zgodnie z obowiązującymi przepisami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w formie kolokwium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Ustawy, Rozporządzenia, Normy, Wytyczne – z zakresu ochrony przeciwpożarowej stałymi i półstałymi urządzeniami gaśniczymi (SUG i PUG).
2.	A. Malesińska: Projektowanie instalacji tryskaczowej, Wydawnictwo Naukowe PWN, Warszawa 2018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w:t>
      </w:r>
    </w:p>
    <w:p>
      <w:pPr>
        <w:spacing w:before="20" w:after="190"/>
      </w:pPr>
      <w:r>
        <w:rPr>
          <w:b/>
          <w:bCs/>
        </w:rPr>
        <w:t xml:space="preserve">Powiązane charakterystyki kierunkowe: </w:t>
      </w:r>
      <w:r>
        <w:rPr/>
        <w:t xml:space="preserve">IS_W08, 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przeciwpożarowym. Posiada wiedzę z zakresu projektowania prostych w budowie geometrycznej instalacji hydrantowych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w:t>
      </w:r>
    </w:p>
    <w:p>
      <w:pPr>
        <w:spacing w:before="20" w:after="190"/>
      </w:pPr>
      <w:r>
        <w:rPr>
          <w:b/>
          <w:bCs/>
        </w:rPr>
        <w:t xml:space="preserve">Powiązane charakterystyki kierunkowe: </w:t>
      </w:r>
      <w:r>
        <w:rPr/>
        <w:t xml:space="preserve">IS_W12, IS_W13</w:t>
      </w:r>
    </w:p>
    <w:p>
      <w:pPr>
        <w:spacing w:before="20" w:after="190"/>
      </w:pPr>
      <w:r>
        <w:rPr>
          <w:b/>
          <w:bCs/>
        </w:rPr>
        <w:t xml:space="preserve">Powiązane charakterystyki obszarowe: </w:t>
      </w:r>
      <w:r>
        <w:rPr/>
        <w:t xml:space="preserve">I.P6S_WG.o, III.P7S_WG,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hydrantowej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IS_U05, 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półstałych i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Ma świadomość wagi formułowanych przez siebie wniosków w kontekście podejmowania decyzji o wyborze sposobu ochrony przeciwpożarowej oraz staranności wykonania projektu instalacji hydrantowej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2026-09-03T09:49:02+02:00</dcterms:created>
  <dcterms:modified xsi:type="dcterms:W3CDTF">2026-09-03T09:49:02+02:00</dcterms:modified>
</cp:coreProperties>
</file>

<file path=docProps/custom.xml><?xml version="1.0" encoding="utf-8"?>
<Properties xmlns="http://schemas.openxmlformats.org/officeDocument/2006/custom-properties" xmlns:vt="http://schemas.openxmlformats.org/officeDocument/2006/docPropsVTypes"/>
</file>