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sanitarnych</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IIN2A_16</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- 16h, wykonanie prac projektowych - 34h;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- 16h; Razem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16h; wykonanie prac projektowych 34h;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zalecane: 8 - 12</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sanitarnych,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Projekt instalacji zimnej, ciepłej wody użytkowej oraz cyrkulacji w budynku wysokim
P2 – Modelowanie instalacji sanitarnych w technologii BIM oraz tworzenie dokumentacji rysunkowej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sanitarnych.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 i metody komputerowe w projektowaniu złożonych zadań inżynierskich z zakresu instalacji sanitarnych.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wykorzystać do formułowania i rozwiązywania zadań inżynierskich i prostych problemów badawczych w zakresie instalacji sanitarnych metody analityczne, symulacyjne oraz eksperymentalne.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U19_01: </w:t>
      </w:r>
    </w:p>
    <w:p>
      <w:pPr/>
      <w:r>
        <w:rPr/>
        <w:t xml:space="preserve">Potrafi, zgodnie z zadaną specyfikacją, uwzględniającą aspekty pozatechniczne, zaprojektować złożone instalacje sanitarne oraz przygotować dokumentację rysunkową - co najmniej w części, używając właściwych metod, technik i narzędzi.</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I2A_U19_01</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2024-12-03T19:49:53+01:00</dcterms:created>
  <dcterms:modified xsi:type="dcterms:W3CDTF">2024-12-03T19:49:53+01:00</dcterms:modified>
</cp:coreProperties>
</file>

<file path=docProps/custom.xml><?xml version="1.0" encoding="utf-8"?>
<Properties xmlns="http://schemas.openxmlformats.org/officeDocument/2006/custom-properties" xmlns:vt="http://schemas.openxmlformats.org/officeDocument/2006/docPropsVTypes"/>
</file>