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- 16, przygotowanie do egzaminu - 34 
Razem - 50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 h,  Razem - 50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ramach przedmiotu jest ugruntowanie i poszerzenie przez studentów wiedzy z dziedziny chemii środowiska (głównie chemii litosfery, hydrosfery i atmosfery) oraz antropogenicznych zanieczyszczeń środowiska, niezbędnych do dalszego studiowania na kierunku inżynieria środowiska. Student zapozna się z czynnikami wpływającymi na reakcje zachodzące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Chemia litosfery: budowa i skład chemiczny kuli ziemskiej, procesy glebotwórcze, substancje mineralne gleb, substancje organiczne gleb, substancje biogenne w glebie, mikroelementy.
Chemia hydrosfery: woda i jej właściwości, rodzaje wód i ich charakterystyka, składniki mineralne wód, eutrofizacja, substancje organiczne wód naturalnych, ścieki, wskaźniki zanieczyszczeń wód i ścieków.
Chemia atmosfery: atmosfera ziemska, chemia troposfery i stratosfery, reakcje fotochemiczne w atmosferze, globalne skutki zanieczyszczenia atmosfery.
Antropogeniczne zanieczyszczenia środowiska: ogólna charakterystyka zanieczyszczeń, metale w środowisku, ropopochodne węglowodorów, węglowodory aromatyczne, pestycydy, fenole, produkty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z kolokwium pisemnego. Przy wystawianiu ocen stosowana jest skala ocen przyporządkowana do określonej procentowo przyswojonej wiedzy: 5,0 - 91%-100%, 4,5- 80%-91%, 4-71%-80%, 3,5-61%-70%, 3-51%-60%, 2- 0% - 50%. Obecność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 Loon G. W. – Chemia środowiska, PWN, Warszawa 2007
2. O’Neill O. – Chemia środowiska, PWN, Warszawa 1997
3. Andrews J., Brimlecombe P. Jickelis T. D., Liss P. S. - Wprowadzenie do chemii środowiska, WNT, Warszawa 2000
4. Naumczyk J. – Chemia środowiska, PWN,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IW05: </w:t>
      </w:r>
    </w:p>
    <w:p>
      <w:pPr/>
      <w:r>
        <w:rPr/>
        <w:t xml:space="preserve">Ma podstawową wiedzę o trendach rozwojowych w chemii środowiskowej oraz najistotniejszych nowych osiągnięciach z zakresu dziedzin nauki i dyscyplin naukowych, właściwych dla kierunku inżynieria środowiska i pokrewnych dyscyplin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chemii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wybranymi zagadnieniami z zakresu chemii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niezbędną do rozumienia społecznych, ekonomicznych, prawnych i innych pozatechnicznych uwarunkowań związanych z chemią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2024-12-22T15:20:08+01:00</dcterms:created>
  <dcterms:modified xsi:type="dcterms:W3CDTF">2024-12-22T15:20:08+01:00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