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- 16, przygotowanie do zajęć - 34, przygotowanie prezentacji multimedialnej 25, razem - 75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- 16 h,  Razem - 16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zalecane 15 - 30 studentów</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tekstów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przedstawiania wyników badan, pisania streszczenia, abstraktu, raportu. </w:t>
      </w:r>
    </w:p>
    <w:p>
      <w:pPr>
        <w:keepNext w:val="1"/>
        <w:spacing w:after="10"/>
      </w:pPr>
      <w:r>
        <w:rPr>
          <w:b/>
          <w:bCs/>
        </w:rPr>
        <w:t xml:space="preserve">Metody oceny: </w:t>
      </w:r>
    </w:p>
    <w:p>
      <w:pPr>
        <w:spacing w:before="20" w:after="190"/>
      </w:pPr>
      <w:r>
        <w:rPr/>
        <w:t xml:space="preserve">Student ma obowiązek posiadać na zajęciach materiały wskazane przez wykładowcę. Aby uzyskać zaliczenie przedmiotu,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Metody dydaktyczne: prezentacja zagadnień z wykorzystaniem multimediów, omawianie przypadków, dyskusja dydaktyczna, film, praca z tekstem czytanym, wypowiedzi studentów na wskazany temat, prezentacje, tłumaczenie na polski i na angielski; rozwiązywanie ćwiczeń leksykalno-gramatycznych; pisanie streszczeń, abstraktów, raportów. Wpis oceny uzyskuje się na ostatnich zajęciach w semestrze. W przypadku niespełnienia warunków uzyskania oceny w tym terminie, student ma prawo ubiegać się o uzyskanie zaliczenia w sesji egzaminacyjnej. 
Przy wystawianiu ocen stosowana jest skala ocen przyporządkowana do określonej procentowo przyswojonej wiedzy: 5,0 - 91%-100%, 4,5 - 80%-91%, 4 - 71%-80%, 3,5 - 61%-70%, 3 - 51%-60%, 2- 0% - 50%. Obecność na ćwiczeniach audytoryjnych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Wskazane przez prowadzącego anglojęzyczne artykuły naukowe z szeroko pojętej tematyki inżynierii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oraz innych właściwie dobranych źródeł, także w języku angielskim w zakresie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U03: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U04: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I2A_U04</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U06: </w:t>
      </w:r>
    </w:p>
    <w:p>
      <w:pPr/>
      <w:r>
        <w:rPr/>
        <w:t xml:space="preserve">Ma umiejętności językowe w zakresie alternatywnych źródeł energii, właściwych dla kierunku inżynieria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I2A_U06</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2024-12-22T16:22:29+01:00</dcterms:created>
  <dcterms:modified xsi:type="dcterms:W3CDTF">2024-12-22T16:22:29+01:00</dcterms:modified>
</cp:coreProperties>
</file>

<file path=docProps/custom.xml><?xml version="1.0" encoding="utf-8"?>
<Properties xmlns="http://schemas.openxmlformats.org/officeDocument/2006/custom-properties" xmlns:vt="http://schemas.openxmlformats.org/officeDocument/2006/docPropsVTypes"/>
</file>