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 w tym:
a) uczestnictwo w wykładach - 15 godz
b) uczestnictwo w zajęciach w laboratorium komput. - 30 godz
c) udział w konsultacjach  - 5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godz, w tym:
a) uczestnictwo w wykładach - 15 godz
b) uczestnictwo w zajęciach w laboratorium komput. - 30 godz
c)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Analizy wielokryterialne, metodyka analiz; metoda WLC i OWA, poziom ryzyka, kompensacja kryteriów. Analizy przydatności terenu dla określonego celu, aktywności gospodarczej, rodzaju inwestycji, itp. Przegląd zastosowań praktycznych z zakresu analiz przydatności terenu. 
Metodyka rozwiązywania zadań z zakresu analiz przydatności terenu w przypadku określenia celów sprzecznych (konfliktowych). Wielokryterialna analiza porównawcza – przykład analizy wariantów obwodnicy. Projektowanie optymalnych połączeń na określonej powierzchni terenu; metodyka, pojęcie ‘odległości’ ważonej kosztami, powierzchnia kosztów względnych i skumulowanych.
Analizy z wykorzystaniem danych NMT i modelu pokrycia terenu, w tym analiza widoczności terenu; przykładowe zastosowania. 
Modelowanie zjawiska erozji; erozja potencjalna, model USLE. 
Analizy krajobrazu, wskaźniki struktury krajobrazu (Fragstat, Idrisi). Badanie zmian, metody analizy zmian czasowych. 
Modelowanie z wykorzystaniem SIP, generowanie różnych scenariuszy i prognoz. Rola analiz przestrzennych i modelowania w procesie podejmowania decyzji oraz w rozwiązywaniu bieżących problemów i realizacji potrzeb społeczno-gospodarczych.
Systemy wspierania decyzji, systemy ekspertowe, bazy wiedzy; analizy oparte o wiedzę i
wieloźródłowe dane, informacje, agregacja wiedzy, informacji z różnych źródeł, wnioskowanie numeryczne (D-S) oraz przybliżone, przegląd wybranych zagadnień. 
Problem oceny jakości rezultatów analiz przestrzennych; znaczenie jakości danych wejściowych, propagacja błędów, analiza wrażliwości, ocena poziomu ryzyka.
Ćwiczenia projektowe. Przykładowe realizacje: 
Projekt 1:
A) Analizy wielokryterialne przydatności terenu dla określonej inwestycji / aktywności. Podejście  ostre i mieszane (zastosowanie narzędzi logiki rozmytej). Przegląd źródeł danych do kryteriów analiz przestrzennych z punktu widzenia inwestora lub jednostki samorządu terytorialnego. Metodyka WLC, wyznaczanie wag, w tym z wykorzystaniem metody AHP. 
B) Rozwiązywanie zadań z zakresu analiz przydatności terenu w przypadku określenia celów konfliktowych (sprzecznych); praca zespołowa z uwzględnieniem określonej metodyki.
C) Wybór optymalnej lokalizacji inwestycji / aktywności z zastosowaniem technologii map kosztów i wyznaczania optymalnego połączenia z wybranymi obiektami istniejącej infrastruktury technicznej.
Budowa i testowanie uniwersalności modelu geoprzetwarzania dla opisanej metodyki analiz przestrzennych. 
Projekt 2:
Przykład analizy opartej o wiedzę i wieloźródłowe dane; wnioskowanie numeryczne (D-S) w ramach systemu wspierania decyzji; rozszerzenie o elementy analizy dokładności oraz modelowanie niepewności.
Projekt3:
Zadanie z zakresu modelowania zjawiska erozji (model RUSLE) lub oceny podatności naturalnej wód podziemnych na zanieczyszczenia (model DRASTIC). Budowa modelu / skryptu geoprzetwarzania, ocena wyników modelowania w zależności od dokładności / szczegółowości danych źródłowych.
</w:t>
      </w:r>
    </w:p>
    <w:p>
      <w:pPr>
        <w:keepNext w:val="1"/>
        <w:spacing w:after="10"/>
      </w:pPr>
      <w:r>
        <w:rPr>
          <w:b/>
          <w:bCs/>
        </w:rPr>
        <w:t xml:space="preserve">Metody oceny: </w:t>
      </w:r>
    </w:p>
    <w:p>
      <w:pPr>
        <w:spacing w:before="20" w:after="190"/>
      </w:pPr>
      <w:r>
        <w:rPr/>
        <w:t xml:space="preserve">Zaliczenie wykładów -  sprawdzian.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Jacek, Jaroszewicz Joanna: Podstawy analiz wielokryterialnych w systemach informacji geograficznej, 2018, Oficyna Wydawnicza Politechniki Warszawskiej, ISBN 978-83-7814-762-6, 254 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2026-09-24T16:16:57+02:00</dcterms:created>
  <dcterms:modified xsi:type="dcterms:W3CDTF">2026-09-24T16:16:57+02:00</dcterms:modified>
</cp:coreProperties>
</file>

<file path=docProps/custom.xml><?xml version="1.0" encoding="utf-8"?>
<Properties xmlns="http://schemas.openxmlformats.org/officeDocument/2006/custom-properties" xmlns:vt="http://schemas.openxmlformats.org/officeDocument/2006/docPropsVTypes"/>
</file>