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Kataster nieruchomości</w:t>
      </w:r>
    </w:p>
    <w:p>
      <w:pPr>
        <w:keepNext w:val="1"/>
        <w:spacing w:after="10"/>
      </w:pPr>
      <w:r>
        <w:rPr>
          <w:b/>
          <w:bCs/>
        </w:rPr>
        <w:t xml:space="preserve">Koordynator przedmiotu: </w:t>
      </w:r>
    </w:p>
    <w:p>
      <w:pPr>
        <w:spacing w:before="20" w:after="190"/>
      </w:pPr>
      <w:r>
        <w:rPr/>
        <w:t xml:space="preserve">dr hab inż. Marcin Karabin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GK.NIK606</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24, w tym: obecność na wykładach: 8 godz., obecność na ćwiczeniach: 16 godz.
Przygotowanie do zajęć ćwiczeniowych: 16 godz., zapoznanie się ze wskazaną literaturą: 12 godz., przygotowanie do egzaminu i obecność na egzaminie: 24 godz.
Razem nakład pracy studenta: 76 godz. = 3 p. ECTS.</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zasadami zakładania i prowadzenia katastru nieruchomości w Polsce.</w:t>
      </w:r>
    </w:p>
    <w:p>
      <w:pPr>
        <w:keepNext w:val="1"/>
        <w:spacing w:after="10"/>
      </w:pPr>
      <w:r>
        <w:rPr>
          <w:b/>
          <w:bCs/>
        </w:rPr>
        <w:t xml:space="preserve">Treści kształcenia: </w:t>
      </w:r>
    </w:p>
    <w:p>
      <w:pPr>
        <w:spacing w:before="20" w:after="190"/>
      </w:pPr>
      <w:r>
        <w:rPr/>
        <w:t xml:space="preserve">Wykład:
Kataster nieruchomości - proces zakładania, podstawy prawne, definicja, zakres rejestrowanych danych podmiotowych i przedmiotowych, organy prowadzące, podstawowe zasady prowadzenia i funkcjonowania katastru nieruchomości w Polsce, katastralny podział kraju (jednostka ewidencyjna, obręb ewidencyjny, działka ewidencyjna), identyfikatory obiektów bazy dany ewidencyjnych, grupy rejestrowe.
Działka ewidencyjna - zakres rejestrowanych danych, identyfikatory, zasady wykazywania przebiegu granic działek ewidencyjnych w katastrze nieruchomości, czynności ustalenia granic, modernizacja ewidencji gruntów i budynków, atrybuty punktu granicznego.
Budynek jako obiekt w katastrze nieruchomości - definicja budynku, budynki wykazywane w katastrze nieruchomości, zakres rejestrowanych danych, identyfikatory, graficzna prezentacja budynku na mapie ewidencyjnej (kontur budynku i jego atrybuty opisowe), treść mapy ewidencyjnej, rodzaje użytków gruntowych wykazywanych w katastrze nieruchomości, lokale - definicja samodzielnego lokalu mieszkalnego, izby, pomieszczenia przynależnego, udziału w nieruchomości wspólnej, pojęcie powierzchni użytkowej lokalu i podstawowe zasady jej obliczania, zakres rejestrowanych danych dla lokali w katastrze nieruchomości, księgi wieczyste - przepisy prawne, zasady zakładania i prowadzenia, zasady ksiąg wieczystych, nieruchomość a działka ewidencyjna (definicja, różnice, rodzaje nieruchomości), budowa ksiąg wieczystych, założenie ewidencji, aktualizacja operatu ewidencyjnego, przepływ danych (egib - kw i odwrotnie), obowiązki poszczególnych organów w zakresie zgłaszania zmian danych podlegających rejestracji w katastrze nieruchomości, wykaz zmian danych ewidencyjnych, podstawowe raporty obrazujące dane ewidencyjne, pomocnicze raporty tworzone na podstawie bazy danych ewidencyjnych, zasady udostępniania danych ewidencyjnych, modernizacja ewidencji gruntów i budynków.
Ćwiczenia projektowe:
Założenie katastru nieruchomości dla określonego fragmentu obrębu ewidencyjnego (część geometryczna i opisowa)
Sporządzenie dokumentacji niezbędnej do założenia księgi wieczystej
Wprowadzenie zmian do operatu katastralnego (aktualizacja operatu katastralnego).
</w:t>
      </w:r>
    </w:p>
    <w:p>
      <w:pPr>
        <w:keepNext w:val="1"/>
        <w:spacing w:after="10"/>
      </w:pPr>
      <w:r>
        <w:rPr>
          <w:b/>
          <w:bCs/>
        </w:rPr>
        <w:t xml:space="preserve">Metody oceny: </w:t>
      </w:r>
    </w:p>
    <w:p>
      <w:pPr>
        <w:spacing w:before="20" w:after="190"/>
      </w:pPr>
      <w:r>
        <w:rPr/>
        <w:t xml:space="preserve">Punkty ECTS (5) przyporządkowane są całemu
przedmiotowi. Aby uzyskać ocenę łączną należy
zaliczyć każdy składnik przedmiotu: wykłady i
ćwiczenia laboratoryjne; Wagi ½ wykład; ½
ćwiczenia. Ocena łączna określona na podstawie
średniej arytmetycznej z egzaminu oraz z
zaliczenia ćwiczeń laboratoryjnych oraz
przyporządkowania wyniku tego obliczenia do
następujących przedziałów liczbowych
odpowiadających ocenom: 5,0 – pięć (4,75 – 5,0)
4,5 – cztery i pół (4,25-4,74) 4,0 –cztery
(3,75-4,24) 3,5-trzy i pół (3,26-3,74) 3,0-trzy
(3,0-3,25) Zaliczenie ćwiczeń polega ocenie
sporządzonej przez studenta dokumentacji
ćwiczeniowej wraz z rozmową na temat sposobu
jej wykonania (forma obrony projektu) oraz
uzyskania pozytywnych ocen ze wszystkich
sprawdzianów. Do zaliczenia wykładu wymagane
jest uzyskanie pozytywnej oceny z egzaminu. Do
zaliczenia sprawdzianu/egzaminu wymagane jest
uzyskanie minimum 60% punktów.
Nieusprawiedliwiona nieobecność na więcej niż 2
zajęcia oznacza niezaliczenie przedmiotu. Student
nieobecny na zajęciach ma obowiązek zgłosić się
do prowadzącego (mail, osobiście) celem
uzgodnienia terminu odrobienia ćwiczeń. Wykład:
Wszystkie materiały do przedmiotu – w zakresie
wykładów tj. prezentacje oraz informacje o
przedmiocie oraz formach i warunkach zaliczenia -
będą udostępniane przez prowadzącego pocztą
email (na wskazany przez Uczestników zajęć
adres mailowy – tzw. mail grupowy lub na skrzynki
poczty uczelnianej z użyciem wysyłki masowej
przez USOSmail przesłany będzie link do
materiałów lub na platformie MS TEAMS.
Prezentacje wykładowe będą umieszczane na
platformie MS TEAMS. Aplikacja jest dostępna dla
każdego studenta Politechniki Warszawskiej w
ramach pakietu Microsot Office 365. Wykład:
Sprawdzian tj. Egzamin odbywać się będzie
stacjonarnie (wg harmonogramu sesji) w formie
testu wielokrotnego wyboru. Do zaliczenia
niezbędne jest uzyskanie min. 55% punktów.
Komunikacja wykład: W ramach przedmiotu
oprócz konsultacji stacjonarnych (w dni wg grafiku
zakładu) przewiduje się użycie następujących
kanałów komunikacji zdalnej: - Pytania do
prowadzącego mogą być kierowane na jego
skrzynkę pocztową. Dla zainteresowanych istnieje
możliwość konsultacji w formie wideokonferencji
w aplikacji Microsoft Teams w uzgodnionym drogą
mailową terminie dogodnym dla Studenta. -
Konsultacje z prowadzącym wykład możliwe także
telefonicznie 608-402-505 Uwagi końcowe:
Student jest zobowiązany do regularnego
zapoznawania się z informacjami i materiałami
dostępnymi na stronie Uczelni i Wydziału. Student
jest zobowiązany do regularnego sprawdzania
uczelnianej studenckiej skrzynki pocztowej oraz
skrzynki pocztowej odpowiadającej tzw. mailowi
grupowemu. Student jest zobowiązany do
postępowania zgodnie z przesłanymi przez
prowadzącego informacjami, instrukcjami i
wytycznymi. Do zaliczenia wykładu wymagane
jest uzyskanie minimum 55% punktów. Możliwość
poprawy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Podstawowe przepisy prawa:
Ustawa z dnia 17 maja 1989r. Prawo geodezyjne i kartograficzne (Dz.U. z 2021r. poz. 1990 - tekst jednolity), Rozporządzenie Ministra Rozwoju, Pracy i Technologii z dnia 27 lipca 2021 r. w sprawie ewidencji gruntów i budynków (Dz.U. z 2021r. poz. 1390 z późn. zmianami), Rozporządzenie Ministra Infrastruktury z dnia 12 kwietnia 2002r. w sprawie warunków technicznych, jakim powinny odpowiadać budynki i ich usytuowanie (Dz.U. z 2022r. poz.1225 - tekst jednolity), Rozporządzenie Rady Ministrów z dnia 3 października 2016r. w sprawie Klasyfikacji Środków Trwałych (KŚT) (Dz.U. z 2016r. poz. 1864), Rozporządzenie Rady Ministrów z dnia 30 grudnia 1999r. w sprawie Polskiej Klasyfikacji Obiektów Budowlanych (PKOB) (Dz.U. z 1999r. nr 112 poz. 1316 z późn zmianami), Ustawa z dnia 24 czerwca 1994 r. o własności lokali (Dz.U. z 2021r. poz. 1048 - tekst jednolity), Ustawa z dnia 21 czerwca 2001 r. – o ochronie praw lokatorów, mieszkaniowym zasobie gminy i o zmianie Kodeksu cywilnego (Dz.U.z 2022r. poz. 172 z późn zmianami), Ustawa z dnia 23 kwietnia 1964r. Kodeks Cywilny (Dz.U.z 2022r. poz. 1360 - tekst jednolity), Ustawa z dnia 6 lipca 1982r. o księgach wieczystych i hipotece (Dz.U. z 2022r poz.1728 - tekst jedolity), Rozporządzenie Ministra Sprawiedliwości z dnia 15 lutego 2016r. w sprawie zakładania i prowadzenia ksiąg wieczystych w systemie teleinformatycznym (Dz.U. z 2016r. poz. 312 z późn. zmianami), Rozporządzenie Ministra Rozwoju z dnia 18 sierpnia 2020 r. w sprawie standardów technicznych wykonywania geodezyjnych pomiarów sytuacyjnych i wysokościowych oraz opracowywania i przekazywania wyników tych pomiarów do państwowego zasobu geodezyjnego i kartograficznego (Dz.U. z 2022r. poz. 1670 - tekst jednolity).
Artykuły publikowane w czasopismach branżowych.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wiedza</w:t>
      </w:r>
      <w:bookmarkEnd w:id="3"/>
    </w:p>
    <w:p>
      <w:pPr>
        <w:keepNext w:val="1"/>
        <w:spacing w:after="10"/>
      </w:pPr>
      <w:r>
        <w:rPr>
          <w:b/>
          <w:bCs/>
        </w:rPr>
        <w:t xml:space="preserve">Efekt GK.NIK606_W1: </w:t>
      </w:r>
    </w:p>
    <w:p>
      <w:pPr/>
      <w:r>
        <w:rPr/>
        <w:t xml:space="preserve">zna zasady prowadzenia i udostępniania katastru</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K_W10, K_W11, K_W22</w:t>
      </w:r>
    </w:p>
    <w:p>
      <w:pPr>
        <w:spacing w:before="20" w:after="190"/>
      </w:pPr>
      <w:r>
        <w:rPr>
          <w:b/>
          <w:bCs/>
        </w:rPr>
        <w:t xml:space="preserve">Powiązane efekty obszarowe: </w:t>
      </w:r>
      <w:r>
        <w:rPr/>
        <w:t xml:space="preserve">T1A_W03, T1A_W08, T1A_W03, T1A_W04, T1A_W03, T1A_W08</w:t>
      </w:r>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umiejętności</w:t>
      </w:r>
      <w:bookmarkEnd w:id="4"/>
    </w:p>
    <w:p>
      <w:pPr>
        <w:keepNext w:val="1"/>
        <w:spacing w:after="10"/>
      </w:pPr>
      <w:r>
        <w:rPr>
          <w:b/>
          <w:bCs/>
        </w:rPr>
        <w:t xml:space="preserve">Efekt  GK.NIK606_U1: </w:t>
      </w:r>
    </w:p>
    <w:p>
      <w:pPr/>
      <w:r>
        <w:rPr/>
        <w:t xml:space="preserve">potrafi sporządzić numeryczną mapę ewidencyjną oraz rejestr gruntów</w:t>
      </w:r>
    </w:p>
    <w:p>
      <w:pPr>
        <w:spacing w:before="60"/>
      </w:pPr>
      <w:r>
        <w:rPr/>
        <w:t xml:space="preserve">Weryfikacja: </w:t>
      </w:r>
    </w:p>
    <w:p>
      <w:pPr>
        <w:spacing w:before="20" w:after="190"/>
      </w:pPr>
      <w:r>
        <w:rPr/>
        <w:t xml:space="preserve">sprawdzenie projektu</w:t>
      </w:r>
    </w:p>
    <w:p>
      <w:pPr>
        <w:spacing w:before="20" w:after="190"/>
      </w:pPr>
      <w:r>
        <w:rPr>
          <w:b/>
          <w:bCs/>
        </w:rPr>
        <w:t xml:space="preserve">Powiązane efekty kierunkowe: </w:t>
      </w:r>
      <w:r>
        <w:rPr/>
        <w:t xml:space="preserve">K_U03, K_U06, K_U13</w:t>
      </w:r>
    </w:p>
    <w:p>
      <w:pPr>
        <w:spacing w:before="20" w:after="190"/>
      </w:pPr>
      <w:r>
        <w:rPr>
          <w:b/>
          <w:bCs/>
        </w:rPr>
        <w:t xml:space="preserve">Powiązane efekty obszarowe: </w:t>
      </w:r>
      <w:r>
        <w:rPr/>
        <w:t xml:space="preserve">T1A_U03, T1A_U05, T1A_U12, T1A_U14</w:t>
      </w:r>
    </w:p>
    <w:p>
      <w:pPr>
        <w:pStyle w:val="Heading3"/>
      </w:pPr>
      <w:bookmarkStart w:id="5" w:name="_Toc5"/>
      <w:r>
        <w:t>Profil ogólnoakademicki - kompetencje społeczne</w:t>
      </w:r>
      <w:bookmarkEnd w:id="5"/>
    </w:p>
    <w:p>
      <w:pPr>
        <w:keepNext w:val="1"/>
        <w:spacing w:after="10"/>
      </w:pPr>
      <w:r>
        <w:rPr>
          <w:b/>
          <w:bCs/>
        </w:rPr>
        <w:t xml:space="preserve">Efekt GK.NIK606_U1: </w:t>
      </w:r>
    </w:p>
    <w:p>
      <w:pPr/>
      <w:r>
        <w:rPr/>
        <w:t xml:space="preserve">rozumie pozatechniczne aspekty i skutki działalności inżyniera geodety</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K_K02, K_K03, K_K06</w:t>
      </w:r>
    </w:p>
    <w:p>
      <w:pPr>
        <w:spacing w:before="20" w:after="190"/>
      </w:pPr>
      <w:r>
        <w:rPr>
          <w:b/>
          <w:bCs/>
        </w:rPr>
        <w:t xml:space="preserve">Powiązane efekty obszarowe: </w:t>
      </w:r>
      <w:r>
        <w:rPr/>
        <w:t xml:space="preserve">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2026-09-02T21:20:11+02:00</dcterms:created>
  <dcterms:modified xsi:type="dcterms:W3CDTF">2026-09-02T21:20:11+02:00</dcterms:modified>
</cp:coreProperties>
</file>

<file path=docProps/custom.xml><?xml version="1.0" encoding="utf-8"?>
<Properties xmlns="http://schemas.openxmlformats.org/officeDocument/2006/custom-properties" xmlns:vt="http://schemas.openxmlformats.org/officeDocument/2006/docPropsVTypes"/>
</file>