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Transmission</w:t>
      </w:r>
    </w:p>
    <w:p>
      <w:pPr>
        <w:keepNext w:val="1"/>
        <w:spacing w:after="10"/>
      </w:pPr>
      <w:r>
        <w:rPr>
          <w:b/>
          <w:bCs/>
        </w:rPr>
        <w:t xml:space="preserve">Koordynator przedmiotu: </w:t>
      </w:r>
    </w:p>
    <w:p>
      <w:pPr>
        <w:spacing w:before="20" w:after="190"/>
      </w:pPr>
      <w:r>
        <w:rPr/>
        <w:t xml:space="preserve">Mgr inż. Marcin Pilarski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1120-IN000-ISA-0232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laboratoriach – 15 h
	c) konsultacje – 5 h
2. dodatkowo student musi poświęcić 40 h na następujące formy pracy
	a) przygotowanie do zajęć laboratoryjnych 15 h
	b) zapoznanie się z literaturą 10 h
	c) przygotowanie do kolokwium zaliczeniowego 15 h
Razem 90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3. konsultacje – 5 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(ćwiczenia komputerowe) – 15-24 os. /grupa</w:t>
      </w:r>
    </w:p>
    <w:p>
      <w:pPr>
        <w:keepNext w:val="1"/>
        <w:spacing w:after="10"/>
      </w:pPr>
      <w:r>
        <w:rPr>
          <w:b/>
          <w:bCs/>
        </w:rPr>
        <w:t xml:space="preserve">Cel przedmiotu: </w:t>
      </w:r>
    </w:p>
    <w:p>
      <w:pPr>
        <w:spacing w:before="20" w:after="190"/>
      </w:pPr>
      <w:r>
        <w:rPr/>
        <w:t xml:space="preserve">The aim of is to familiarize the students with the principles of transmission of digital signals in telecommunication systems, as well as with an architecture, operation and fundamental technologies of the Internet and carrier-grade IP networks.</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2026-03-29T12:53:07+02:00</dcterms:created>
  <dcterms:modified xsi:type="dcterms:W3CDTF">2026-03-29T12:53:07+02:00</dcterms:modified>
</cp:coreProperties>
</file>

<file path=docProps/custom.xml><?xml version="1.0" encoding="utf-8"?>
<Properties xmlns="http://schemas.openxmlformats.org/officeDocument/2006/custom-properties" xmlns:vt="http://schemas.openxmlformats.org/officeDocument/2006/docPropsVTypes"/>
</file>