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ogólnowydziałowy: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Lasota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kompetencji społecznych w zakresie podstaw inżynierii bezpieczeństwa pożarowego budynków, przekazanie wiedzy w zakresie pozwalającym na korzystanie z norm europejskich i przepisów w procesie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pojęcia; W2 - Funkcje elementów  budynku w warunkach pożaru; W3 - Stany krytyczne bezpieczeństwa pożarowego; W4 - Reakcja na ogień; W5 - Toksyczność i dymotwórczość materiałów budowlanych; W6 - Wentylacja pożarowa; W7 - Odporność ogniowa; W8 - Zabezpieczenia ogniochronne; W9 - Rozwiązania elementów i instalacji z uwagi na bezpieczeństwo pożarowe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M.: Bezpieczeństwo pożarowe budynków. Budownictwo ogólne, Tom 2, rozdz. 9, Arkady, Warszawa 2005;  2. Kosiorek M. i inni: cykl artykułów w Materiałach Budowlanych 10/2005  - 3/2007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w zakresie fizyki, chemii, fizykochemii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W17: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W18: </w:t>
      </w:r>
    </w:p>
    <w:p>
      <w:pPr/>
      <w:r>
        <w:rPr/>
        <w:t xml:space="preserve">Ma szczegółową wiedzę związaną z doborem klasy odporności ogniowej elementów budynku i podziałami budynku na strefy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rozumienia pozatechnicznych aspektów i skutków działalności inżynierskiej,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2026-07-25T21:11:13+02:00</dcterms:created>
  <dcterms:modified xsi:type="dcterms:W3CDTF">2026-07-25T21:11:13+02:00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