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informacyjna w budownictwie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Małgorzata Wydra/ asystent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BN1A_03_P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20h;
Przygotowanie się do zajęć 15h;
Przygotowanie do zaliczenia 15h;
Razem 50h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- 20h; Razem 20h = 0,8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20h;
Przygotowanie się do zajęć 15h;
Przygotowanie do zaliczenia 15h;
Razem 50h = 2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projekt: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Podstawowym celem nauczania przedmiotu jest przekazanie wszechstronnej wiedzy, tak w ujęciu ogólnokształcącym jak i praktycznym, w zakresie umiejętności świadomego wykorzystywania środków i stosowanie metod informatyki we wszystkich możliwych obszarach aktywności zawodowej i społecznej w warunkach transformacji do społeczeństwa informacyjnego i ukierunkowania na wiedzę.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P1-P2: Przetwarzanie tekstów: ogólne zasady edycji i redagowania dokumentów jedno- i wielostronicowych, elementarne mechanizmy pozycjonowania, wykonywanie tabel i wykresów oraz usprawnienia prac biurowych - szablony dokumentów, korespondencja seryjna, spisy treści, haseł, tabel i ilustracji. Zarządzanie stylami, wykorzystanie przypisów i odsyłaczy.
P3 - Edycja i redagowanie dokumentów o złożonej strukturze
P4-P6: Wykorzystanie arkuszy kalkulacyjnych: struktura arkusza, metody adresowania, operowanie tablicami, wizualizacja danych - wykresy, funkcje kartotekowej bazy danych - wyszukiwanie i porządkowanie informacji, budowa schematów obliczeniowych - zestawienia tabelaryczne, obliczenia cykliczne, funkcje specjalne - solver, mechanizmy automatyzacji - makra, procedury VBA, praca z formularzami.
P7: Wykorzystanie programu arkusza kalkulacyjnego w praktyce inżynierskiej
P8: Grafika menedżerska i prezentacyjna: zasady projektowania, cechy poprawnie zbudowanej prezentacji; struktura prezentacji - slajd, konspekt, notatki, wykorzystanie funkcji animacji.
P9-P10: Sieci komputerowe: technologia www - funkcje przeglądarki, budowa strony www, język opisu stron HTML, techniki  budowy statycznych stron www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	Obecność na wszystkich zajęciach jest obowiązkowa. Jedną usprawiedliwioną nieobecność na zajęciach student może odrobić na zajęciach w innej grupie za zgodą prowadzącego.
2.	Formą sprawdzenia efektów kształcenia jest obserwacja przez prowadzącego samodzielnej pracy studenta na zajęciach oraz dwa sprawdziany realizowane na stacji roboczej w pracowni komputerowej. Sprawdziany polegają na samodzielnym przygotowaniu dokumentu/dokumentów tekstowych oraz arkusza/arkuszy kalkulacyjnych zgodnie z wytycznymi podanymi przez prowadzącego w formie pisemnej.
3.	Efekty uczenia się przypisane do przedmiotu będą weryfikowane podczas sprawdzianów przeprowadzonych nie później niż w ostatnim tygodniu semestru. 
4.	Warunkiem koniecznym zaliczenia przedmiotu jest uczestnictwo we wszystkich zajęciach, przyjęcie przez prowadzącego poprawnie wykonanego projektu i uzyskanie dwóch pozytywnych ocen ze sprawdzianów. Ocena z przedmiotu jest średnią ocen z dwóch sprawdzianów.
5.	Student ma prawo przystąpić do każdego ze sprawdzianów w dwóch wybranych terminach przed rozpoczęciem sesji egzaminacyjnej. Student powtarza, z powodu niezadowalających wyników, całość zajęć projektowych.
6.	Na sprawdzianie, podczas weryfikacji osiągnięcia efektów uczenia się, student może korzystać wyłącznie z programów komputerowych wskazanych przez prowadzącego zajęcia zainstalowanych na stacji roboczej w pracowni komputerowej. Każdy student może mieć przy sobie podczas sprawdzianu długopis (lub pióro) z niebieskim tuszem (lub atramentem) oraz kilka czystych arkuszy papieru formatu A4. Pozostałe materiały i przybory pomocnicze, szczególnie telefony komórkowe i inne urządzenia elektroniczne, są zabronione.
7.	Jeżeli podczas weryfikacji osiągnięcia efektów uczenia się zostanie stwierdzona niesamodzielność pracy studenta lub korzystanie przez niego z materiałów, programów lub urządzeń innych niż dozwolone w regulaminie przedmiotu, student uzyskuje ocenę niedostateczną i traci prawo do zaliczenia przedmiotu w jego bieżącej realizacji.
8.	Rejestrowanie dźwięku i obrazu przez studentów w trakcie zajęć jest dozwolone, jeśli prowadzący udzieli wyraźnej zgody. 
9.	Prowadzący zajęcia umożliwia studentowi wgląd do ocenionych sprawdzianów i projektu w terminach konsultacji podanych na portalu USOS.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Dawid Harel - "Rzecz o istocie informatyki. Algorytmika.", WNT 1992; 
2. J. Gleen Brokshear - "Informatyka w ogólnym zarysie", WNT 2003; 
3. Julita Korol – „Visual Basic w Excelu 2000”, MIKOM 2001;  
4. Mirosława Kopertowska – „Przetwarzanie tekstów. Europejskie Komputerowe Prawo Jazdy”, MIKOM 1998; 
5. Mirosława Kopertowska – „Bazy danych. Europejskie Komputerowe Prawo Jazdy”, MIKOM 1999; 
6. Mirosłąwa Kopertowska – „Grafika menedżerska i prezentacyjna. Europejskie Komputerowe Prawo Jazdy”, MIKOM 1999; 
7. Adam Wojciechowski – „Usługi w sieciach informatycznych. Europejskie Komputerowe Prawo Jazdy”, MIKOM 1998; 
8. Ryszard Tadeusiewicz – „Elementarne wprowadzenie do techniki sieci neuronowych 
z przykładowymi programami”, Akademicka Oficyna Wydawnicza PLJ W-wa 1999; 
9. David E. Goldberg „Algorytmy genetyczne i ich zastosowania”, WNT 1998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Zajęcia zostały przygotowane i będą przeprowadzone z wykorzystaniem technologii informacyjno-komunikacyjnych (ICT)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korzystać z dostępnych w sieciach komputerowych baz danych, wyszukiwania informacji. Potrafi zaprojektować i przygotować w technologii WWW proste statyczne strony internetowe.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projektowe: statyczna strona internetowa (P)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U05_01: </w:t>
      </w:r>
    </w:p>
    <w:p>
      <w:pPr/>
      <w:r>
        <w:rPr/>
        <w:t xml:space="preserve">Posiada umiejętność przygotowania prezentacji komputerowej wymagającej samodzielnego wyszukiwania informacji.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projektowe: przygotowanie prezentacji przy użyciu programu do grafiki menadżerskiej i prezentacyjnej (P)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2026-09-26T03:13:01+02:00</dcterms:created>
  <dcterms:modified xsi:type="dcterms:W3CDTF">2026-09-26T03:13:01+02:00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