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Introduction. Successful public administration in the information age. 
2.	What is public relations? The misconception of dark/black/negative PR.
3.	Differences between PR and advertising, marketing and propaganda. 
4.	Seven deadly sins of public relations.
5.	Reputation, image and the organizational identity. 
6.	Finding the organizational “why”: a case study.
7.	Internal and external publics. Government relations and civic relations. Donors, investors and other special publics.
8.	How the message gets through. Shared experience, gatekeeping, opinion leadership. 
9.	Effectiveness interrupted: communication noises. 
10.	Media relations.
11.	Ethical and unethical PR. The IPRA Code of Conduct.
12.	Crisis communication 1/2. Seven principles of crisis communication.
13.	Crisis communication 2/2. Crises in public administration: a case study.
</w:t>
      </w:r>
    </w:p>
    <w:p>
      <w:pPr>
        <w:keepNext w:val="1"/>
        <w:spacing w:after="10"/>
      </w:pPr>
      <w:r>
        <w:rPr>
          <w:b/>
          <w:bCs/>
        </w:rPr>
        <w:t xml:space="preserve">Metody oceny: </w:t>
      </w:r>
    </w:p>
    <w:p>
      <w:pPr>
        <w:spacing w:before="20" w:after="190"/>
      </w:pPr>
      <w:r>
        <w:rPr/>
        <w:t xml:space="preserve">The final grade consists of two key elements:
•	Completion of 5 homework assignments – max 2 pts. each, max of 10 points total (50% of total points)
•	Completion of final exam in written form (multiple choice test &amp; short answer questions) – max of 10 points (50% of total points).
Additional requirements to be met:
•	The minimum of 4 homework assignments turned in.
•	Class participation throughout the semester.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Chouinard, Y. (2006). Let My People Go Surfing. Penguin Books
2.	Grinberg, D. (2018). Media Relations 101: Why Transparency Always Triumphs. “Medium” 2.04.2018 [online]: https://dbgrinberg.medium.com/media-relations-101-why-transparency-triumphs-2e9f720d2bfd [accessed 18.10.2021]
3.	International Public Relations Association (2011). The IPRA Code of Conduct [online]; https://www.ipra.org/static/media/uploads/code_of_conduct/english.pdf [accessed 13.10.2021]
4.	Saylor Academy (2012). Mastering Public Relations [online]; https://saylordotorg.github.io/text_mastering-public-relations/index.html [accessed 18.10.2021]
5.	Smith, R. (2017). Public Relations: The Basics, London &amp; New York: Routledge
Note: the course also consists of a few visual materials (approx. 10 minutes long videos) shown in class. A summary of Chouinard’s book is provided.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2026-04-11T23:10:59+02:00</dcterms:created>
  <dcterms:modified xsi:type="dcterms:W3CDTF">2026-04-11T23:10:59+02:00</dcterms:modified>
</cp:coreProperties>
</file>

<file path=docProps/custom.xml><?xml version="1.0" encoding="utf-8"?>
<Properties xmlns="http://schemas.openxmlformats.org/officeDocument/2006/custom-properties" xmlns:vt="http://schemas.openxmlformats.org/officeDocument/2006/docPropsVTypes"/>
</file>