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Interoperacyjność systemów teleinformacyjnych administracji publicznej</w:t>
      </w:r>
    </w:p>
    <w:p>
      <w:pPr>
        <w:keepNext w:val="1"/>
        <w:spacing w:after="10"/>
      </w:pPr>
      <w:r>
        <w:rPr>
          <w:b/>
          <w:bCs/>
        </w:rPr>
        <w:t xml:space="preserve">Koordynator przedmiotu: </w:t>
      </w:r>
    </w:p>
    <w:p>
      <w:pPr>
        <w:spacing w:before="20" w:after="190"/>
      </w:pPr>
      <w:r>
        <w:rPr/>
        <w:t xml:space="preserve">dr hab. inż. Marian Kowalewski, prof.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A22_ISTAP</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Student uczestniczy w ćwiczeniach objętych programem przedmiotu (15h). Na potrzeby pozyskania i ugruntowania wiedzy, studiowania wskazanej literatury przedmiotu, przygotowania się do ćwiczeń przeznacza 60h. Sumaryczne obciążenie pracą studenta kształtuje się na poziomie 75h. Ilość punktów ECTS - 3.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zapoznanie studentów z międzynarodowymi i krajowymi ramami interoperacyjności systemów i usług teleinformatycznych administracji publicznej.</w:t>
      </w:r>
    </w:p>
    <w:p>
      <w:pPr>
        <w:keepNext w:val="1"/>
        <w:spacing w:after="10"/>
      </w:pPr>
      <w:r>
        <w:rPr>
          <w:b/>
          <w:bCs/>
        </w:rPr>
        <w:t xml:space="preserve">Treści kształcenia: </w:t>
      </w:r>
    </w:p>
    <w:p>
      <w:pPr>
        <w:spacing w:before="20" w:after="190"/>
      </w:pPr>
      <w:r>
        <w:rPr/>
        <w:t xml:space="preserve">1. WPROWADZENIE DO PROBLEMÓW INTEROPERACYJNOŚCI SYSTEMÓW TELEINFORMATYCZNYCH ADMINISTRACJI PUBLICZNEJ - Podstawowe określenia. Istota i znaczenie interoperacyjności systemów teleinformatycznych administracji publicznej.
2. SYSTEMY I SIECI TELEINFORMATYCZNE ADMINISTRACJI PUBLICZNEJ - Sieci teleinformatyczne administracji publicznej. Sieci telekomunikacyjne na potrzeby bezpieczeństwa i zarządzania kryzysowego 
3. USŁUGI TELEINFORMATYCZNE ADMINISTRACJI PUBLICZNEJ - E-usługi. 
Usługi administracji publicznej (e-administracji.
4. USŁUGI TELEINFORMATYCZNE ADMINISTRACJI PUBLICZNEJ. uSŁUGI W CHMURZE OBLICZENIOWEJ  - Modele i usługi chmury obliczeniowej. Zalety i wady chmury obliczeniowej. „Dekalog chmuroluba” – dziesięć zasad na potrzeby stosowania usług CC przez administracje publiczną. Zasady bezpieczeństwa systemów i sieci informatycznych OECD.
5.JAKOŚĆ USŁUG TELEINFORMATYCZNYCH. SYSTEM ZARZADZANIA USŁUGAMI - Właściwości usług telekomunikacyjnych. Badania jakości usług teleinformatycznych.
System Zarządzania Usługami.
6. EUROPEJSKIE RAMY INTEROPERACYJNOSCI - Wprowadzenie do Europejskich Ram Interoperacyjności – określenia, cele, potrzeby i kontekst. Podstawowe zasady europejskich ram interoperacyjności systemów i usług użyteczności publicznej. Konceptualny model usług użyteczności publicznej. Podstawy prawne Europejskich Ram Interoperacyjności.
7. EUROPWJSKIE RAMY INTEROPERACYJNOŚCI. STRATEGIA WDROZEŃ - Wprowadzenie do Europejskich ram interoperacyjności (EIF) – strategia wdrożeń.
Podstawowe zasady i zalecenia EIF – strategia wdrożeń. Warstwy interoperacyjności. 
Konceptualny model usług użyteczności publicznej 
8. KRAJOWE RAMY INTEROPERACYJNOŚCI - Wprowadzenie do Krajowych Ram Interoperacyjności. Wymagania w zakresie struktur i wymiany danych. Wymagania WCAG. Podstawy prawne Krajowych Ram Interoperacyjności. 
</w:t>
      </w:r>
    </w:p>
    <w:p>
      <w:pPr>
        <w:keepNext w:val="1"/>
        <w:spacing w:after="10"/>
      </w:pPr>
      <w:r>
        <w:rPr>
          <w:b/>
          <w:bCs/>
        </w:rPr>
        <w:t xml:space="preserve">Metody oceny: </w:t>
      </w:r>
    </w:p>
    <w:p>
      <w:pPr>
        <w:spacing w:before="20" w:after="190"/>
      </w:pPr>
      <w:r>
        <w:rPr/>
        <w:t xml:space="preserve">Przedmiot zaliczany na ocenę. Ocenę przedmiotu stanowi średnia z ocen uzyskanych w toku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Gałach Adam.: Krajowe ramy interoperacyjności. Systemy informatyczne w administracji publicznej, Wydawnictwo C.H.Beck, Warszawa 2015
2. Kowalewski J., Kowalewski M., Polityka Bezpieczeństwa Informacji w praktyce, Presscom, Wrocław 2014 
3. Kowalewski M., Usługi teleinformatyczne administracji publicznej, Oficyna Wydawnicza PW, Warszawa 2019
4. Kowalewski M., Uwarunkowania prawne organizacji bezpieczeństwa informacji Rzeczypospolitej Polskiej, Oficyna Wydawnicza PW, Warszawa 2020
5. Europejskie Ramy Interoperacyjności, Komisja Europejska, Bruksela 16.12.2010 r.
6. Europejskie Ramy Interoperacyjności – strategia wdrożeń, Bruksela 23.3.2017 r. 
7. Krajowe Ramy Interoperacyjności. Rozporządzenie Rady Ministrów w sprawie Krajowych Ram Interoperacyjności, minimalnych wymagań dla rejestrów publicznych i wymiany informacji w postaci elektronicznej oraz minimalnych wymagań dla systemów teleinformatycznych.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2026-09-29T22:58:04+02:00</dcterms:created>
  <dcterms:modified xsi:type="dcterms:W3CDTF">2026-09-29T22:58:04+02:00</dcterms:modified>
</cp:coreProperties>
</file>

<file path=docProps/custom.xml><?xml version="1.0" encoding="utf-8"?>
<Properties xmlns="http://schemas.openxmlformats.org/officeDocument/2006/custom-properties" xmlns:vt="http://schemas.openxmlformats.org/officeDocument/2006/docPropsVTypes"/>
</file>