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Robert Stępnicki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75h = 30h wykład + 15h ćwiczenia + 5h konsultacje + 5h przygotowanie do zaliczenia ćwiczeń + 5h analiza literatury + 15h przygotowanie do egzaminu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audytoryjnej (wykład)	 - od 12 osób do limitu miejsc w sali ćwiczeniowej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•	Zapoznanie P.T. Studentów z elementami teorii miary probabilistycznej i ich zastosowaniami.
•	Uzupełnienie do wymaganego minimum programowego zakresu materiału obejmującego podstawy rachunku prawdopodobieństwa.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Przestrzeń probabilistyczna ( przestrzeń zdarzeń elementarnych, σ-ciało zdarzeń losowych, miara probabilistyczna). Klasyczna definicja prawdopodobieństwa.
2.	Zmienne losowe jednowymiarowe (dyskretne, ciągłe): pojęcie rozkładu prawdopodobieństwa, dystrybuanty i funkcji zmiennej losowej; charakterystyki położenia i rozproszenia, momenty zmiennej losowej; typowe rozkłady jednowymiarowych zmiennych losowych.
3.	Twierdzenia graniczne.
Ćwiczenia: 
1.	Opisywanie przykładów przestrzeni probabilistycznych. Rozwiązywanie zadań z zastosowaniem własności miary probabilistycznej i dystrybuanty zmiennej losowej jednowymiarowej typu skokowego albo typu ciągłego.
2.	Rozwiązywanie zadań z wykorzystaniem pojęcia funkcji zmiennej losowej; pokazanie aplikacyjności podstawowych rozkładów prawdopodobieństwa (jednopunktowy, zerojedynkowy, dwumianowy, Bernoulliego,geometryczny, Poissona, jednostajny, normalny, wykładniczy, chi kwadrat, Studenta).
3.	Rozwiązywanie zadań z wykorzystaniem: integralnych twierdzeń granicznych Lindeberga-Levy’ego oraz Moivre’a-Laplace’a, słabych praw wielkich liczb Chinczyna oraz Bernoulliego, lokalnego twierdzenia granicznego Poissona.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1.	Ocena formatywna: ocenie podlega pisemny egzamin wiedzy teoretycznej w formie pisemnej (część zadaniowa i część teoretyczna). 
2.	Ocena sumatywna : wynik egzaminu pisemnego; ocena z egzaminu w zakresie 2-5; do zaliczenia egzaminu wymagana jest ocena &gt;=3.
Ćwiczenia: 
1.	Ocena formatywna: ocenie podlegają kolokwia sprawdzające umiejętności praktyczne (część zadaniowa)
2.	Ocena sumatywna: wynik kolokwiów ocena w zakresie 2-5; do zaliczenia wymagane jest uzyskanie z oceny &gt;=3..
Ocena końcowa z przedmiotu: 
1.	Ocena formatywna: każda z części przedmiotu zaliczona na ocenę min. 3.0
2.	Ocena sumatywna: Przedmiot uznaje się za zaliczony, jeśli oceny z wykładu i ćwiczeń są &gt;=3;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A. i E.Plucińscy, Wstęp do rachunku prawdopodobieństwa i statystyki matematycznej, PWN, Warszawa, 1973
2.	 A. i E.Plucińscy, Rachunek prawdopodobieństwa, statystyka matematyczna, procesy stochastyczne, WNT, Warszawa 2000
3.	 W. Krysicki, L. Włodarski, Rachunek prawdopodobieństwa - T1, Statystyka matematyczna - T2, PWN, Warszawa 2003
4.	 R. Leitner, Zarys matematyki wyższej dla studentów, cz.III., WN-T, W-wa 2012
5.	Materiały dydaktyczne wykładowcy.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Z1_WG2: </w:t>
      </w:r>
    </w:p>
    <w:p>
      <w:pPr/>
      <w:r>
        <w:rPr/>
        <w:t xml:space="preserve">Absolwent zna i rozumie w zaawansowanym stopniu zagadnienia oraz metody z wybranych obszarów matematyki obejmujące elementy  teorii rachunku prawdopodobieństwa, wykorzystywane  w obszarze analizy biznesowej, analizy danych i analizy finansowej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Z1_UW2: </w:t>
      </w:r>
    </w:p>
    <w:p>
      <w:pPr/>
      <w:r>
        <w:rPr/>
        <w:t xml:space="preserve">Absolwent potrafi wykorzystać posiadaną wiedzę do właściwego zdiagnozowania problemów w organizacji oraz do sformułowania propozycji ich rozwiązania, wykorzystując do tego również poznane metody z zakresu matematyki obejmujące elementy  teorii rachunku prawdopodobieństwa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dyskusje na ćwiczeniach, pisemne prace kontrolne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Z1_UW5: </w:t>
      </w:r>
    </w:p>
    <w:p>
      <w:pPr/>
      <w:r>
        <w:rPr/>
        <w:t xml:space="preserve">Absolwent potrafi wykorzystywać posiadaną wiedzę do analizy potrzeb biznesowych, w tym oczekiwań i potrzeb klientów, analizy modeli biznesowych oraz strategii przedsiębiorstw w warunkach ciągłej transformacji gospodarki. Do w/w analiz dobiera oraz stosuje poznane metody i narzędzia z matematyki  obejmujące elementy  teorii rachunku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dyskusje na ćwiczeniach, pisemne prace kontrolne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Z1_KK2: </w:t>
      </w:r>
    </w:p>
    <w:p>
      <w:pPr/>
      <w:r>
        <w:rPr/>
        <w:t xml:space="preserve">Absolwent jest gotowy do uznania znaczenia wiedzy z matematyki  obejmującą elementy  teorii rachunku prawdopodobieństwa  w rozwiązywaniu problemów poznawczych i praktycznych z zakresu zarządzania w warunkach gospodarki cyfrowej, w środowisku międzynarodowym oraz zasięgania opinii ekspertów w przypadku napotkania ograniczeń samodzielnego rozwiązania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dyskusje na ćwiczeniach, pisemne prace kontrolne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2026-08-20T06:18:15+02:00</dcterms:created>
  <dcterms:modified xsi:type="dcterms:W3CDTF">2026-08-20T06:18:15+02:00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