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Bogdan Wnętrzewski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1050-00000-MZP-0507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 w tym:
a) wykład - 16 godz.;
b) konsultacje - 1 godz.;
2) Praca własna studenta – 85 godzin, w tym:
a) studia literaturowe: 35 godz.
b)- przygotowanie do zajęć: 20 godz. 
c)- przygotowanie do kolokwium: 30 godz.
3) RAZEM – 102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 ECTS - 17 godz., w tym:
a) wykład - 16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Kartkówki, kolokwia, ocena referatu (fakultatywnie).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1050-00000-MZP-0507_W01: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KMiBM2_W02, KMiBM2_W03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KMiBM2_W02, KMiBM2_W03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1050-00000-MZP-0507_U01: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charakterystyki kierunkowe: </w:t>
      </w:r>
      <w:r>
        <w:rPr/>
        <w:t xml:space="preserve">KMiBM2_U01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charakterystyki kierunkowe: </w:t>
      </w:r>
      <w:r>
        <w:rPr/>
        <w:t xml:space="preserve">KMiBM2_U15, KMiBM_U17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2026-09-29T20:33:55+02:00</dcterms:created>
  <dcterms:modified xsi:type="dcterms:W3CDTF">2026-09-29T20:33:55+02:00</dcterms:modified>
</cp:coreProperties>
</file>

<file path=docProps/custom.xml><?xml version="1.0" encoding="utf-8"?>
<Properties xmlns="http://schemas.openxmlformats.org/officeDocument/2006/custom-properties" xmlns:vt="http://schemas.openxmlformats.org/officeDocument/2006/docPropsVTypes"/>
</file>