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-26, w tym: 
a)	wykład - 16 godz.;
b)	laboratorium- 8 godz.;
c     konsultacje -2
2) Praca własna studenta -  64 godz, w tym: 
a)	34 godz. – bieżące przygotowywanie się do ćwiczeń  i wykładów (analiza literatury),
b)	20 godz. – realizacja zadań domowych,
c)	10 godz. - przygotowywanie się do 2 kolokwiów ,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punkty ECTS – liczba godzin kontaktowych - 26., w tym:
a)	wykład -16  godz.;
b)	laboratorium- 8 godz.;
c) konsultacje -2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- 45 godz., w tym:
1)	8 godz. - ćwiczenia  laboratoryjne  
2)	22 godz. – przygotowywanie się do ćwiczeń laboratoryjnych
3)	15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Zrywarki).
- Wielo-osprzętowe maszyny ciągnikowe.( Koparko-ładowarki. Koparko-spycharki).
- Maszyny do zagęszczania mas ziemnych. 
- Maszyny do wykonywania otworów i szczelin.
- Maszyny do układania i regeneracji nawierzchni utwardzonych (betonowych i asfaltowych).
- Maszyny do kruszenia materiałów budowlanych.
- Maszyny do produkcji i transportu betonu.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•	Badanie procesów kruszenia w modelowej kruszarce szczękowej.
•	Współpraca maszyn roboczych z ośrodkiem gruntowym. 
•	Koparka -proces urabiania gruntu. 
•	Cylindry hydrauliczne w maszynach budowlanych cz. 2.
•	Programowanie sterowników PLC.
•	Przenośnik wibracyjny.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kolokwia.
Laboratorium: krótka weryfikacja przygotowania studenta do zajęć („wejściówka”), ocena wykonania zadań podczas ćwiczenia, ocena sprawozdań.
Ocena z przedmiotu: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Pozytywną ocenę uzyskuje się po zaliczeniu wejściówki, poprawnie wykonanym ćwiczeniu i oddaniu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Krótki sprawdzian ustny/pisemny weryfikujący przygotowanie studenta („wejściówka” ). Raport z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Raport z ćwiczenia. Krótki sprawdzian ustny/pisemny weryfikujący przygotowanie studenta („wejściówka” 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1150-MTMRC-IZP-0323_K1: </w:t>
      </w:r>
    </w:p>
    <w:p>
      <w:pPr/>
      <w:r>
        <w:rPr/>
        <w:t xml:space="preserve">Umie pracować indywidualnie i w zespole przy prowadzeniu badań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2026-09-30T10:49:03+02:00</dcterms:created>
  <dcterms:modified xsi:type="dcterms:W3CDTF">2026-09-30T10:49:03+02:00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