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kontaktowych- 25 godzin, w tym:
a) projekt - 20. godz.;
b) konsultacje - 5 godz.;
2) Praca własna studenta – 35 godzin, w tym:
a)	 15 godz. –bieżące przygotowywanie się studenta do zajęć, studia literaturowe,
b)	 25 godz. – wykonanie sprawozdań
3) RAZEM – suma godzin pracy własnej i godzin kontaktowych- 60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projekt - 20.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60 godzin, w tym;
a) projekt - 20. godz.;
b) konsultacje - 5 godz.;
c) przygotowanie do wykonania projektu - 15 godz.;
d) wykonanie sprawozdań - 20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W ramach pierwszego projektu studenci mają za zadanie wykonać układ sterowania i regulacji w środowisku Matlab-Simulink.
Drugi projekt poświęcony jest modelowaniu i doborowi parametrów układu dynamicznego w środowisku AmeSim (budowa modeli opartych na interpretacji fizycznej obiektu).
Ostatni z projektów poświęcony jest projektowaniu wspomagania układu napędowego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KMchtr_W18, KMchtr_W07,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1150-MT000-IZP-0337_U1: </w:t>
      </w:r>
    </w:p>
    <w:p>
      <w:pPr/>
      <w:r>
        <w:rPr/>
        <w:t xml:space="preserve">Student potrafi posługiwać się technikami informacyjno-komunikacyjnymi właściwymi do realizacji zadań typowych dla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1150-MT000-IZP-0337_U1: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2026-09-30T20:25:44+02:00</dcterms:created>
  <dcterms:modified xsi:type="dcterms:W3CDTF">2026-09-30T20:25:44+02:00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