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 - 25, w tym:
a) laboratorium - 16 godz. ;
b) konsultacje - 9 godz. 
2. Praca własna studenta – 25 godzin, bieżące przygotowywanie się studenta do ćwiczeń laboratoryjnych,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25, w tym:
a) laboratorium - 16 godz. ;
b) konsultacje - 9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- 50 godz., w tym:
a) laboratorium- 16 godz. ;
b) konsultacje - 9 godz.;
c) 25 godzin, bieżące przygotowywanie się studenta do ćwiczeń laboratoryjnych,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wykonywanie zadań przez studenta w ramach ćwiczeń. Wszystkie oceny muszą być pozytywne.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KMchtr_W05, KMchtr_W07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1150-MT000-IZP-0121_U01: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1150-MT000-IZP-0121_U02: </w:t>
      </w:r>
    </w:p>
    <w:p>
      <w:pPr/>
      <w:r>
        <w:rPr/>
        <w:t xml:space="preserve">Posiada umiejętność utworzenia dokumentacji rysunkowej dla modelu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1150-MT000-IZP-0121_U03: </w:t>
      </w:r>
    </w:p>
    <w:p>
      <w:pPr/>
      <w:r>
        <w:rPr/>
        <w:t xml:space="preserve">Potrafi zbudować parametryczny model geometryczny 3D 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2026-08-02T03:21:37+02:00</dcterms:created>
  <dcterms:modified xsi:type="dcterms:W3CDTF">2026-08-02T03:21:37+02:00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