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1150-MBMRC-IZP-0322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laboratorium - 8 godz.;
2) Praca własna studenta - 76 godz, w tym: 
a)	23 godz. – bieżące przygotowywanie się do laboratoriów i wykładów,
b)	28 godz. – studia literaturowe,
c)	15 godz. –  opracowanie wyników, przygotowanie sprawozdań,
d)	10 godz. - przygotowywanie się do sprawdzianów,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0,9 punktu ECTS – liczba godzin kontaktowych - 24., w tym:
a)	wykład - 16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8 godz. - ćwiczenia laboratoryjne,
2)	17 godz. – przygotowywanie się do ćwiczeń laboratoryjnych,
3)	15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8-12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Model dynamiczny żurawia naściennego.
Obciążenia dźwignic. Siły dynamiczne podnoszenia.
Badania stateczności dźwignic. Stateczność dynamiczna żurawi wieżowych.
Obciążenia dźwignic. Siły dynamiczne ruchów torowych suwnicy.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http://www.simr.pw.edu.pl/Instytut-Pojazdow-i-Maszyn-Roboczych/Dydaktyka/Przedmioty-obowiazkowe/Dzwignice-zaoczne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1150-MBMRC-IZP-0322_W1: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1150-MBMRC-IZP-0322_W2: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1150-MBMRC-IZP-0322_U1: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1150-MBMRC-IZP-0322_U2: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KMiBM_U17, KMiBM_U18, KMiBM_U15, KMiBM_U16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1150-MBMRC-IZP-0322_K1: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1150-MBMRC-IZP-0322_K2: </w:t>
      </w:r>
    </w:p>
    <w:p>
      <w:pPr/>
      <w:r>
        <w:rPr/>
        <w:t xml:space="preserve">Umie pracować indywidualnie i w zespole.</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2026-10-02T00:17:21+02:00</dcterms:created>
  <dcterms:modified xsi:type="dcterms:W3CDTF">2026-10-02T00:17:21+02:00</dcterms:modified>
</cp:coreProperties>
</file>

<file path=docProps/custom.xml><?xml version="1.0" encoding="utf-8"?>
<Properties xmlns="http://schemas.openxmlformats.org/officeDocument/2006/custom-properties" xmlns:vt="http://schemas.openxmlformats.org/officeDocument/2006/docPropsVTypes"/>
</file>