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29 godz. w tym:
a) projekt – 24 godz.;
b) konsultacje – 5 godz.;
2) Praca własna studenta – 46 godz. w tym:
a) bieżące przygotowanie studenta do zajęć – 16 godz.,
b) studia literaturowe – 10 godz.,
c) wykonanie dokumentacji technicznej –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– liczba godzin kontaktowych – 29 godz., w tym:
a) projekt – 24 godz.;
b)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– 24 godz., w tym:
a) projekt – 24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wykładzie Podstaw Zapisu Konstrukcji.
Podstawowe umiejętności z zakresu Geometrii Wykreślnej. 
Podstawowa znajomość maszyn do obróbki skrawaniem i metod obróbki skrawaniem przedstawiona na Zajęcia warsztatowych.
Zainteresowanie techniką, umiejętność obserwacji, znajomość jednostek miar liniowych i kątowych i umiejętność ich przeliczania.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wykorzystywania wszystkich wiadomości poznanych podczas wykładu w praktycznym sporządzaniu dokumentacji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Odręczne wykonanie (na papierze gładkim, ołówkiem) dwóch szkiców na podstawie otrzymanych części maszynowych –tematy indywidualne,
Odwzorowanie w rzutach prostokątnych (na brystolu) i zwymiarowanie  podstawy łożyska oczkowego – wykonanie tuszem w domu.
Wykonanie rysunków (na brystolu) na podstawie wcześniej wykonanych szkiców. 
Wykonanie (na brystolu) rysunku śruby i nakrętki – tematy indywidualne. Wykonanie (na brystolu) rysunku zestawieniowego połączenia gwintowego omówionego podczas zajęć walcowego – tematy indywidualne.
Wykonanie (na brystolu) rysunku koła zębatego walcowego – tematy indywidualne.
Wykonanie rysunku złożeniowego, rysunków wykonawczych i specyfikacji części prostego zespołu maszynowego (na kalce technicznej lub brystolu wykonanie w tuszu lub ołówku).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projektowania jest uzyskanie pozytywnych ocen ze wszystkich wykonywanych prac, które są na bieżąco konsultowane, sprawdzane,  poprawiane  i oceniane na każdych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Bajkowski: Podstawy zapisu konstrukcji. Warszawa: OWPW 2014.
2. T. Dobrzański: Rysunek techniczny maszynowy. Warszawa: WNT 2004.
3. J. Bajkowski: Rysunek techniczny –materiały do ćwiczeń projektowych.
4. J. Bajkowski, J. Bartkiewicz, J. Kozdra: Zbiór zadań z rysunku technicznego.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1150-MB000-IZP-0117_W1: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1150-MB000-IZP-0117_W2: </w:t>
      </w:r>
    </w:p>
    <w:p>
      <w:pPr/>
      <w:r>
        <w:rPr/>
        <w:t xml:space="preserve">Zna i stosuje w praktyce porządkowe ogólne i szczególne zasady wymiarowania elementów maszyn i konstrukcji; zna podstawowe pojęcia dotyczące określania stanu struktury powierzchni materiału; zna pojęcie tolerancji wymiarów i pasowania części  i umie stosować je do wymiarowania przedmiotów.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KMiBM_W08, 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1150-MB000-IZP-0117_W3: </w:t>
      </w:r>
    </w:p>
    <w:p>
      <w:pPr/>
      <w:r>
        <w:rPr/>
        <w:t xml:space="preserve">Ma wiedzę dotyczącą przedstawiania i wymiarowania łączników i połączeń rozłącznych (połączeń gwintowych, sworzniowych, wpustowych i innych).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1150-MB000-IZP-0117_W4: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1150-MB000-IZP-0117_U1: </w:t>
      </w:r>
    </w:p>
    <w:p>
      <w:pPr/>
      <w:r>
        <w:rPr/>
        <w:t xml:space="preserve">Zna i 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1150-MB000-IZP-0117_U2: </w:t>
      </w:r>
    </w:p>
    <w:p>
      <w:pPr/>
      <w:r>
        <w:rPr/>
        <w:t xml:space="preserve">Ma praktyczną umiejętność dotyczącą przedstawiania i wymiarowania łączników i połączeń rozłącznych i nierozłącznych.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1150-MB000-IZP-0117_U3: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1150-MB000-IZP-0117_U4: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1150-MB000-IZP-0117_U5: </w:t>
      </w:r>
    </w:p>
    <w:p>
      <w:pPr/>
      <w:r>
        <w:rPr/>
        <w:t xml:space="preserve">Dobrze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1150-MB000-IZP-0117_U6: </w:t>
      </w:r>
    </w:p>
    <w:p>
      <w:pPr/>
      <w:r>
        <w:rPr/>
        <w:t xml:space="preserve">Potrafi pracować indywidualnie i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1150-MB000-IZP-0117_K1: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2026-09-30T22:07:32+02:00</dcterms:created>
  <dcterms:modified xsi:type="dcterms:W3CDTF">2026-09-30T22:07:32+02:00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