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17 godzin, w tym:
a) 8 godz. – bieżące przygotowywanie się studenta do ćwiczeń laboratoryjnych, 
b) 9 godz. – studia z literatury, uporządkowanie i rozszerzenie wiedzy zdobytej na zajęciach, opracowanie wyników i przygotowanie sprawozdań.
3) RAZEM – 26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2013.
10. Ratajczyk E., Woźniak A.: Współrzędnościowe systemy pomiarowe, OWPW, 2016.
11. Boryczko A.: Podstawy pomiarów wielkości mechanicznych, Wyd. PG, 2010.
12 Arendarski J.: Niepewność pomiarów, OWPW, 2013.
13. Tomasik J. (red.): Sprawdzanie przyrządów do pomiaru długości i kąta, OWPW, 2009.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150-MB000-IZP-0220_U02: </w:t>
      </w:r>
    </w:p>
    <w:p>
      <w:pPr/>
      <w:r>
        <w:rPr/>
        <w:t xml:space="preserve">Student potrafi 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150-MB000-IZP-0220_U03: </w:t>
      </w:r>
    </w:p>
    <w:p>
      <w:pPr/>
      <w:r>
        <w:rPr/>
        <w:t xml:space="preserve">Student potrafi oszacować niepewność pomiarów bezpośrednich i pośrednich oraz zastosować kryteria oceny zgodności wyrobów ze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oszacować niepewność pomiarów bezpośrednich i pośrednich oraz zastosować kryteria oceny zgodności wyrobów ze specyfikacją.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150-MB000-IZP-0220_U04: </w:t>
      </w:r>
    </w:p>
    <w:p>
      <w:pPr/>
      <w:r>
        <w:rPr/>
        <w:t xml:space="preserve">Student umie dobrać metody i zaproponować urządzenia (narzędzia) pomiarowe (uniwersalne lub specjalizowane) do weryfikacji wymagań geometryczno-wymiarowych, wykorzystać zasady analizy/syntezy wymiarowej niezbędne 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oszacować niepewność pomiarów bezpośrednich i pośrednich oraz zastosować kryteria oceny zgodności wyrobów ze specyfikacją.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150-MB000-IZP-0220_U05: </w:t>
      </w:r>
    </w:p>
    <w:p>
      <w:pPr/>
      <w:r>
        <w:rPr/>
        <w:t xml:space="preserve">Student potrafi 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oszacować niepewność pomiarów bezpośrednich i pośrednich oraz zastosować kryteria oceny zgodności wyrobów ze specyfikacją.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2026-08-19T08:09:44+02:00</dcterms:created>
  <dcterms:modified xsi:type="dcterms:W3CDTF">2026-08-19T08:09:44+02:00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