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inż. Paweł Wawrzyniak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1150-MB000-MSP0-508</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wykład - 15 godz.;
b) ćwiczenia -15 godz.;
c) konsultacje - 1. godz.;
d) egzamin - 2  godz.;
2) Praca własna studenta - 26 godz., w tym:
a) przygotowywanie się do kolokwiów – 10 godz.; 
b) przygotowywanie się do egzaminu – 10 godz.
c) studiowanie literatury – 6 godz.
3) RAZEM – 59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1,12 punktu ECTS – liczba godzin kontaktowych  - 33 godz. , w tym:
a) wykład - 15 godz.;
b) ćwiczenia -15 godz.;
c) konsultacje - 1.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czasowych,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wyjścia mających zastosowanie między innymi w robotyce. Poznanie metod układania równań stanu oraz ich rozwiązywania.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Wykłady: 
1. Wiadomości wstępne. Podstawowe pojęcia i określenia. Klasyfikacja układów automatyki. Rodzaje regulacji. Elementy prostego i złożonego układu automatycznej regulacji. 
2. Charakterystyki i stany układów URA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Ćwiczenia: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Dwa kolokwia, egzamin pisemny z części zadaniowej i teoretycznej. Ocena łączna jako średnia z części zadaniowej i teoretycznej. Obydwie części przedmiotu muszą być zaliczone co najmniej na ocenę dostateczną. W razie konieczności jest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1150-MB000-MSP-0508_W1: </w:t>
      </w:r>
    </w:p>
    <w:p>
      <w:pPr/>
      <w:r>
        <w:rPr/>
        <w:t xml:space="preserve">Posiada wiedzę z budowy charakterystyk czasowych i częstotliwościowych złożonych układów automatyki, budowy równań stanu i wyjścia, rozwiązywania w zapisie ogólnym i macierzowo-wektorowym, potrafi wyznaczać transmitancję układów wielowymiarowych oraz sprawdzania sterowalności i obserwowalności obiektów.</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1150-MB000-MSP-0508_U1: </w:t>
      </w:r>
    </w:p>
    <w:p>
      <w:pPr/>
      <w:r>
        <w:rPr/>
        <w:t xml:space="preserve">Potrafi modelować złożone układy jako jedno- i wielowymiarowe, potrafi przeprowadzać analizy i budować kryteria oceny jakości statycznej i dynamicznej układów URA, potrafi rozsądnie postawić problem z jakim może się spotkać  specjaliście inżynierowi automatykowi</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KMiBM2_U01, KMiBM2_U03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2026-07-30T04:29:41+02:00</dcterms:created>
  <dcterms:modified xsi:type="dcterms:W3CDTF">2026-07-30T04:29:41+02:00</dcterms:modified>
</cp:coreProperties>
</file>

<file path=docProps/custom.xml><?xml version="1.0" encoding="utf-8"?>
<Properties xmlns="http://schemas.openxmlformats.org/officeDocument/2006/custom-properties" xmlns:vt="http://schemas.openxmlformats.org/officeDocument/2006/docPropsVTypes"/>
</file>