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1150-MBKCI-ISP- 0404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31 godz., w tym:
•	wykład - 30 godz.;
•	konsultacje – 1 godz.
2) Praca własna studenta – 40 godz., w tym:  
•	studia literaturowe: 5 godz.
•	przygotowanie do zajęć: 15 godz.
•	przygotowanie do sprawdzianów i egzaminu: 30 godz.
3) RAZEM – 81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trzy sprawdziany, 
Egzamin  ustny lub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1150-MBKCI-ISP- 0404_W1: </w:t>
      </w:r>
    </w:p>
    <w:p>
      <w:pPr/>
      <w:r>
        <w:rPr/>
        <w:t xml:space="preserve">Zna cechy charakterystyczne podstawowych metod numerycznych stosowanych w analizach struktur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KMiBM_W06, KMiBM_W19, KMiBM_W17, KMiBM_W18, KMiBM_W20, KMiBM_W04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1150-MBKCI-ISP- 0404_U1: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1150-MBKCI-ISP- 0404_U3: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1150-MBKCI-ISP- 0404_K1: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2026-08-20T16:43:14+02:00</dcterms:created>
  <dcterms:modified xsi:type="dcterms:W3CDTF">2026-08-20T16:43:14+02:00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