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1150-MB000-ISP-330</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b) laboratorium- 15 godz.;
c) konsultacje - 5 godz.
2. Praca własna studenta – 15 godzin, w tym:
a)	 10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-15 godz.;
b) laboratorium- 15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15 godz. – przygotowywanie się do ćwiczeń laboratoryjnych
b) laboratorium- 15 godz.;
c)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charakterystyki kierunkowe: </w:t>
      </w:r>
      <w:r>
        <w:rPr/>
        <w:t xml:space="preserve">KMiBM_U21, KMiBM_U24, KMiBM_U01, KMiBM_U13, KMiBM_U16, KMiBM_U19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2026-10-21T21:54:05+02:00</dcterms:created>
  <dcterms:modified xsi:type="dcterms:W3CDTF">2026-10-21T21:54:05+02:00</dcterms:modified>
</cp:coreProperties>
</file>

<file path=docProps/custom.xml><?xml version="1.0" encoding="utf-8"?>
<Properties xmlns="http://schemas.openxmlformats.org/officeDocument/2006/custom-properties" xmlns:vt="http://schemas.openxmlformats.org/officeDocument/2006/docPropsVTypes"/>
</file>