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 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godz., w tym:
a) wykład – 30 godz.;
b) laboratorium – 30 godz.
c) konsultacje – 2 godz.;
d) egzamin – 2 godz.;
2) Praca własna studenta – 40 godzin, w tym:
a) 5 godz. – bieżące przygotowanie studenta do wykładu,
b) 15 godz. – bieżące przygotowanie studenta do laboratorium,
c) 10 godz. – studia literaturowe,
d) 10 godz. – przygotowanie do egzaminu.
3) RAZEM – 104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punktów ECTS – liczba godzin kontaktowych – 64 godz., w tym:
a) wykład – 30 godz.;
b) laboratorium – 30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30 godz. – ćwiczenia laboratoryjne,
b) 15 godz. – bieżące przygotowanie studenta do laboratorium.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charakterystyki kierunkowe: </w:t>
      </w:r>
      <w:r>
        <w:rPr/>
        <w:t xml:space="preserve">KMiBM_W02, KMiBM_W10, 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KMiBM_W16,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charakterystyki kierunkowe: </w:t>
      </w:r>
      <w:r>
        <w:rPr/>
        <w:t xml:space="preserve">KMiBM_U01, KMiBM_U12,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KMiBM_U12, KMiBM_U13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KMiBM_K02, KMiBM_K05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2026-10-01T14:36:45+02:00</dcterms:created>
  <dcterms:modified xsi:type="dcterms:W3CDTF">2026-10-01T14:36:45+02:00</dcterms:modified>
</cp:coreProperties>
</file>

<file path=docProps/custom.xml><?xml version="1.0" encoding="utf-8"?>
<Properties xmlns="http://schemas.openxmlformats.org/officeDocument/2006/custom-properties" xmlns:vt="http://schemas.openxmlformats.org/officeDocument/2006/docPropsVTypes"/>
</file>