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- 45 godzin, w tym:
a)	 10 godz. – bieżące przygotowywanie studenta do wykładu,
b)	 10 godz. – przygotowywanie się studenta do egzaminu,
d)	 15 godz. – bieżące przygotowywanie się do laboratorium,
e)	 10 godz. – realizacja sprawozdań z laboratorium,
3) RAZEM –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- 40 godzin, w tym: 
1) ćwiczenia  laboratoryjne  – 15 godz.;
2) 15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KMiBM_W17, KMiBM_W18, KMiBM_W20, KMiBM_W19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KMiBM_U07, KMiBM_U11,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KMiBM_U01, KMiBM_U08, KMiBM_U11, KMiBM_U15,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KMiBM_U08, KMiBM_U18, 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KMiBM_U11, KMiBM_U12, 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KMiBM_U02, KMiBM_U07, KMiBM_U11, KMiBM_U17, 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KMiBM_U17, KMiBM_U12, KMiBM_U16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charakterystyki kierunkowe: </w:t>
      </w:r>
      <w:r>
        <w:rPr/>
        <w:t xml:space="preserve">KMiBM_K02, 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2026-10-01T04:54:35+02:00</dcterms:created>
  <dcterms:modified xsi:type="dcterms:W3CDTF">2026-10-01T04:54:35+02:00</dcterms:modified>
</cp:coreProperties>
</file>

<file path=docProps/custom.xml><?xml version="1.0" encoding="utf-8"?>
<Properties xmlns="http://schemas.openxmlformats.org/officeDocument/2006/custom-properties" xmlns:vt="http://schemas.openxmlformats.org/officeDocument/2006/docPropsVTypes"/>
</file>