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Symulacja układów dynamicznych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Robert Gumiński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Pojazdów Elektrycznych i Hybrydowych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1150-PE000-ISP-0218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kontaktowych: 
a) praca w laboratorium -15 godz.;
2. Praca własna studenta:
a)	10 godz. - przygotowywanie się do laboratoriów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 0.6 punktu ECTS - 15 godzin laboratorium -15godz.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punkt ECTS - 25 godzin pracy studenta, w tym: 
a) udział w ćwiczeniach laboratoryjnych - 15 godzin,
b) przygotowanie zajęć - 10 godzin.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Przygotowanie do zajęć z zakresu równań ruchu i teorii drgań.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 PW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podstaw modelowania układów dynamicznych z wykorzystaniem programy Matlab/Simulink.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Opisy układów dynamicznych i ich transformacje w środowisku Matlab. 2. Identyfikacja modeli dynamicznych w środowisku Matlab. 3. Wprowadzenie do języka symulacyjnego Simulink. 4. Budowa modeli i uruchamianie symulacji w środowisku Simulink. 5. Symulacje stanów nieustalonych i dynamicznych w środowisku Simulink. 6. Analiza postsymulacyjna w środowisku Matlab/Simulink.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Podstawą zaliczenia jest wykonanie dwóch  zadań-sprawdzianów, każde zadanie jest oceniane osobno. Zadanie polega na zbudowaniu modelu układu dynamicznego/ równania różniczkowego, analiza wyników. Warunkiem zaliczenia przedmiotu jest zaliczenie każdego sprawdzianu na ocenę minimum 3.0.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Włodzimierz Kurnik - Wykłady z mechaniki ogólnej, Oficyna Wydawnicza PW, 2012,
Zbigniew Osiński - Mechanika ogólna, PWN, 1994,
Help- Matlab/Simulink,
Materiały przekazywane przez prowadzących.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mechatronika.simr.pw.edu.pl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1150-PE000-ISP-0218_W1: </w:t>
      </w:r>
    </w:p>
    <w:p>
      <w:pPr/>
      <w:r>
        <w:rPr/>
        <w:t xml:space="preserve">Student posiada wiedzę o zasadach modelowania układów dynamicznych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jakości samodzielnie napisanego oprogramowania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1150-PE000-ISP-0218_W2: </w:t>
      </w:r>
    </w:p>
    <w:p>
      <w:pPr/>
      <w:r>
        <w:rPr/>
        <w:t xml:space="preserve">Student potrafi budować modele symulacyjne na podstawie równań różniczkowych.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jakości samodzielnie napisanego oprogramowania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1150-PE000-ISP-0218_U1: </w:t>
      </w:r>
    </w:p>
    <w:p>
      <w:pPr/>
      <w:r>
        <w:rPr/>
        <w:t xml:space="preserve">Potrafi pozyskiwać informacje z systemów pomocy kontekstowej środowisk programistycznych (w języku angielskim); potrafi integrować uzyskane informacje, dokonywać ich interpretacji i wykorzystywać w budowie oprogramowania.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jakości samodzielnie napisanego oprogramowania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1150-PE000-ISP-0218_U2: </w:t>
      </w:r>
    </w:p>
    <w:p>
      <w:pPr/>
      <w:r>
        <w:rPr/>
        <w:t xml:space="preserve">Student potrafi dokonać prezentacji i przeprowadzić analizę uzyskanych wyników symulacji.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jakości samodzielnie napisanego oprogramowania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1150-PE000-ISP-0218_U3: </w:t>
      </w:r>
    </w:p>
    <w:p>
      <w:pPr/>
      <w:r>
        <w:rPr/>
        <w:t xml:space="preserve">Potrafi budować modele symulacyjne układów dynamicznych w środowisku Matlab/Simulink.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jakości samodzielnie napisanego oprogramowania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1150-PE000-ISP-0218_U4: </w:t>
      </w:r>
    </w:p>
    <w:p>
      <w:pPr/>
      <w:r>
        <w:rPr/>
        <w:t xml:space="preserve">Potrafi przeprowadzać symulacje komputerowe oraz interpretować uzyskane wyniki i wyciągać wnioski.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jakości wykonania ćwiczeń laboratoryjnych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K_U24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1150-PE000-ISP-0218_K1: </w:t>
      </w:r>
    </w:p>
    <w:p>
      <w:pPr/>
      <w:r>
        <w:rPr/>
        <w:t xml:space="preserve">Potrafi odpowiednio ustalić priorytety służące realizacji określonego przez innych zadania.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2025-05-16T00:50:14+02:00</dcterms:created>
  <dcterms:modified xsi:type="dcterms:W3CDTF">2025-05-16T00:50:14+02:00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