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tryskaczowe</w:t>
      </w:r>
    </w:p>
    <w:p>
      <w:pPr>
        <w:keepNext w:val="1"/>
        <w:spacing w:after="10"/>
      </w:pPr>
      <w:r>
        <w:rPr>
          <w:b/>
          <w:bCs/>
        </w:rPr>
        <w:t xml:space="preserve">Koordynator przedmiotu: </w:t>
      </w:r>
    </w:p>
    <w:p>
      <w:pPr>
        <w:spacing w:before="20" w:after="190"/>
      </w:pPr>
      <w:r>
        <w:rPr/>
        <w:t xml:space="preserve">dr hab.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- 8 godz., przygotowanie do zajęć projektowych - 10 godz., zapoznanie się z literaturą - 10 godz., przygotowanie projektu i obrona - 15 godz., przygotowanie do zaliczenia i obecność na nim - 16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Instalacje wodociągowe</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budowa i zasada działania instalacji tryskaczowych, wymagania formalno-prawne z zakresu instalacji tryskaczowych (Ustawy, rozporządzenia, PN-EN 12 845, VdS, NFPA13, FM Global), omówienie podstawowych parametrów projektowych instalacji tryskaczowych według różnych przepisów, rodzaje tryskaczy, parametry pracy tryskaczy (np. RTI, rodzaj zamka, itp.), omówienie procesu projektowania instalacji tryskaczowych( np. powierzchnia działania, powierzchnia obliczeniowa, klasa zagrożenia pożarowego, itd.), zawieszenie instalacji tryskaczowych według różnych przepisów, zawory kontrolno-alarmowe, zaopatrzenie w wodę, pompownie przeciwpożarowe (podstawy, różnice w podejściu np. według VdS a NFPA13). Przykład obliczeniowy.</w:t>
      </w:r>
    </w:p>
    <w:p>
      <w:pPr>
        <w:keepNext w:val="1"/>
        <w:spacing w:after="10"/>
      </w:pPr>
      <w:r>
        <w:rPr>
          <w:b/>
          <w:bCs/>
        </w:rPr>
        <w:t xml:space="preserve">Metody oceny: </w:t>
      </w:r>
    </w:p>
    <w:p>
      <w:pPr>
        <w:spacing w:before="20" w:after="190"/>
      </w:pPr>
      <w:r>
        <w:rPr/>
        <w:t xml:space="preserve">Zaliczenie projektu: wykonanie i obrona projektu (40%), część wykładowa przedmiotu zaliczana jest pisemnie (60%)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Malesińska: Projektowanie instalacji tryskaczowej, Wydawnictwo Naukowe PWN, Warszawa 2018 r., ustawy,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IS_W10, IS_W08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tryskaczowym jak również z możliwości wyboru przepisów do szczegółowego projektowania instalacji tryskaczowych. Posiada wiedzę z zakresu projektowania prostych w budowie geometrycznej instalacji tryskaczowych oraz zna podstawowe parametry projektowe determinujące wielkość instalacji tryskaczowej.</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tryskaczowej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IS_U07, IS_U05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formułowanych przez siebie wniosków w kontekście podejmowania decyzji o wyborze klasy zagrożenia pożarowego oraz staranności wykonania projektu instalacji tryskaczowej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2026-10-21T09:22:00+02:00</dcterms:created>
  <dcterms:modified xsi:type="dcterms:W3CDTF">2026-10-21T09:22:00+02:00</dcterms:modified>
</cp:coreProperties>
</file>

<file path=docProps/custom.xml><?xml version="1.0" encoding="utf-8"?>
<Properties xmlns="http://schemas.openxmlformats.org/officeDocument/2006/custom-properties" xmlns:vt="http://schemas.openxmlformats.org/officeDocument/2006/docPropsVTypes"/>
</file>