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 IS_W11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IS_U21, IS_U22</w:t>
      </w:r>
    </w:p>
    <w:p>
      <w:pPr>
        <w:spacing w:before="20" w:after="190"/>
      </w:pPr>
      <w:r>
        <w:rPr>
          <w:b/>
          <w:bCs/>
        </w:rPr>
        <w:t xml:space="preserve">Powiązane charakterystyki obszarowe: </w:t>
      </w:r>
      <w:r>
        <w:rPr/>
        <w:t xml:space="preserve">P7U_U, I.P7S_UK, III.P7S_UW.o, I.P7S_UU</w:t>
      </w:r>
    </w:p>
    <w:p>
      <w:pPr>
        <w:keepNext w:val="1"/>
        <w:spacing w:after="10"/>
      </w:pPr>
      <w:r>
        <w:rPr>
          <w:b/>
          <w:bCs/>
        </w:rPr>
        <w:t xml:space="preserve">Charakterystyka U02: </w:t>
      </w:r>
    </w:p>
    <w:p>
      <w:pPr/>
      <w:r>
        <w:rPr/>
        <w:t xml:space="preserve">Posiada umiejętności samodzielnego planowania, realizacji i interpretacji badań ekotoksykologicznych umożliwiających ocenę zagrożenia środowiska związanego z gospodarką odpadami.</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III.P7S_UW.o, P7U_U,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również w dziedzinie toksyczności odpadów</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skutków działalności inżynierskiej, szczególnie dotyczących zagrożeń ekologicznych, i związanej z tym odpowiedzialności za podejmowane decyzje.</w:t>
      </w:r>
    </w:p>
    <w:p>
      <w:pPr>
        <w:spacing w:before="60"/>
      </w:pPr>
      <w:r>
        <w:rPr/>
        <w:t xml:space="preserve">Weryfikacja: </w:t>
      </w:r>
    </w:p>
    <w:p>
      <w:pPr>
        <w:spacing w:before="20" w:after="190"/>
      </w:pPr>
      <w:r>
        <w:rPr/>
        <w:t xml:space="preserve"> Ustna dyskusja w trakcie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2026-10-03T15:04:59+02:00</dcterms:created>
  <dcterms:modified xsi:type="dcterms:W3CDTF">2026-10-03T15:04:59+02:00</dcterms:modified>
</cp:coreProperties>
</file>

<file path=docProps/custom.xml><?xml version="1.0" encoding="utf-8"?>
<Properties xmlns="http://schemas.openxmlformats.org/officeDocument/2006/custom-properties" xmlns:vt="http://schemas.openxmlformats.org/officeDocument/2006/docPropsVTypes"/>
</file>