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a) udział w ćwiczeniach laboratoryjnych - 18 godz.,
b) konsultacje - 2 godz.
2) Praca własna studenta - 9 godz., w tym:
a) przygotowanie sprawozdań z ćwiczeń laboratoryjnych - 9 godz.
Razem: 29 godz.</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ML.ZNS524_W2: </w:t>
      </w:r>
    </w:p>
    <w:p>
      <w:pPr/>
      <w:r>
        <w:rPr/>
        <w:t xml:space="preserve">Student zna zagadnienia regulacji i sterowania urządzeń energetycznych.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2026-10-21T14:25:54+02:00</dcterms:created>
  <dcterms:modified xsi:type="dcterms:W3CDTF">2026-10-21T14:25:54+02:00</dcterms:modified>
</cp:coreProperties>
</file>

<file path=docProps/custom.xml><?xml version="1.0" encoding="utf-8"?>
<Properties xmlns="http://schemas.openxmlformats.org/officeDocument/2006/custom-properties" xmlns:vt="http://schemas.openxmlformats.org/officeDocument/2006/docPropsVTypes"/>
</file>