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ML.NW142_W01: </w:t>
      </w:r>
    </w:p>
    <w:p>
      <w:pPr/>
      <w:r>
        <w:rPr/>
        <w:t xml:space="preserve">Ma wiedzę niezbędną do rozumienia społecznych, ekonomicznych, prawnych i innych pozatechnicznych uwarunkowań działalności inżynierskiej oraz ich uwzględniania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ML.NW142_U01: </w:t>
      </w:r>
    </w:p>
    <w:p>
      <w:pPr/>
      <w:r>
        <w:rPr/>
        <w:t xml:space="preserve">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AiR2_U04, AiR2_U21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Student posiada umiejętności przeprowadzenia skutecznej prezentacji na dowolny temat. Potrafi wykorzystać wiedzę i zasady efektywnej komunikacji w życiu zawodowym, podczas rozmowy kwalifikacyjnej.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AiR2_U04, AiR2_U19, AiR2_U21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Student ma świadomość, że autokreacja, tworzenie wizerunku publicznego jest warunkiem sprawnych i udanych interakcji społecznych.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Ma wiedzę i przekonanie o fundamentalnej roli "mowy ciała" w skutecznej komunikacji interpersonalnej. Ma świadomość własnej samooceny jak również obszarów, które chciałby rozwijać.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P7U_K</w:t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Ma świadomość roli technik wpływu społecznego oraz konsekwencji wynikających ze "skąpstwa poznawczego".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2026-10-21T05:29:00+02:00</dcterms:created>
  <dcterms:modified xsi:type="dcterms:W3CDTF">2026-10-21T05:29:00+02:00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