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 &lt;br&gt;
a) spotkania i konsultacje - 199 godz.  &lt;br&gt;
b) zaliczenie przedmiotu - 1 godz.  &lt;br&gt;
2. Liczba godzin pracy własnej: 300. &lt;br&gt;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 tym: &lt;br&gt;
a) spotkania, konsultacje, praca w laboratorium itp. - 199 godz.  &lt;br&gt;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 dla 1 pracownika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 &lt;br&gt;
- rozwiązania postawionego zadania badawczego,  &lt;br&gt;
- doboru literatury,   &lt;br&gt;
- wyboru metod rozwiązania,   &lt;br&gt;
- przedstawienia i krytycznej analizy wyników.  &lt;br&gt; &lt;br&gt;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ML.NW137_W1: </w:t>
      </w:r>
    </w:p>
    <w:p>
      <w:pPr/>
      <w:r>
        <w:rPr/>
        <w:t xml:space="preserve">																					Posiada rozległą wiedzę na wybrany temat w ramach kierunku.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AiR2_U20, 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						Potrafi skorzystać z literatury do poszukiwania wskazówek przy rozwiązywaniu wybranego problemu badawczego.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AiR2_U12, AiR2_U17, AiR2_U20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						Potrafi samodzielnie rozwiązać proste zadanie naukowe.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AiR2_U06, 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							Potrafi samodzielnie przygotować sprawozdanie z pracy oraz w rozmowie obronić przedstawione tezy.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AiR2_U03, 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ML.NW137_K1: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AiR2_K02, AiR2_K03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2026-09-29T21:56:09+02:00</dcterms:created>
  <dcterms:modified xsi:type="dcterms:W3CDTF">2026-09-29T21:56:09+02:00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