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wykładu,
b) 15 godz. laboratorium,
c) 5 godz. konsultacji.
2. Praca własna - 55 godzin,  w tym:
a) 25 godz. przygotowanie projektów,
b) 30 godz. studiowanie literatury, przygotowanie się do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25 godz. przygotowanie projektów,
b) 15 godz. laboratorium,
c) 5 godz. konsultacji.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Bieżąca ocena pracy studenta w ramach laboratorium, ocena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Student posiada wiedzę odnośnie istoty oporu indukowanego oraz warunków i metod jego minimalizacji dla złożonych układów powierzchni nośnych.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bieżąca ocena pracy studenta w ramach laboratorium,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 NS651_U1: </w:t>
      </w:r>
    </w:p>
    <w:p>
      <w:pPr/>
      <w:r>
        <w:rPr/>
        <w:t xml:space="preserve">							Umiejętność analizy charakterystyk aerodynamicznych profilu oraz jego projektowania z wykorzystaniem programu XFOIL.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2026-08-20T10:25:14+02:00</dcterms:created>
  <dcterms:modified xsi:type="dcterms:W3CDTF">2026-08-20T10:25:14+02:00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