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wykłady - 15 godz.,
b)	ćwiczenia – 15 godz.,
c)	konsultacje – 5 godz.
2.	Praca własna studenta – 40 godzin, w tym: 
a)	 przygotowywanie się studenta do kolokwiów 20 godzin,
b)	przygotowywanie się do ćwiczeń (realizacja zadań domowych) - 20 godzin.
Razem - 75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	liczba godzin kontaktowych : 35, w tym:
a)	wykłady - 15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 
2. J.Leyko, J.Szmelter (red.): Zbiór zadań z mechaniki ogólnej, t I i II. PWN, Warszawa, 1983. 
3. I.W.Mieszczerski: Zbiór zadań z mechaniki. PWN, Warszaw, 1969. 
4. R.Romicki: Rozwiązania zadań z mechaniki zbioru I.W.Mieszczerskiego. PWN, Warszawa, 1971. 
5. F.P. Beer, E.R. Johnston. Vector mechanics for engineers. McGraw-Hill, 1977. 
Dodatkowa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ML.NW108_W01: </w:t>
      </w:r>
    </w:p>
    <w:p>
      <w:pPr/>
      <w:r>
        <w:rPr/>
        <w:t xml:space="preserve">																																			Student ma podstawową wiedzę o siłach, momentach sił, parach sił. Wie co to jest tarcie poślizgowe i toczne, geometria mas.  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														Student wie jak wykorzystać rachunek wektorowy w zagadnieniach ze statyki.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																					Student zna zakres stosowalności metod statyki niutonowskiej, w tym: wie czym się różnią zagadnienia statycznie wyznaczalne od statycznie niewyznaczalnych.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																					Student potrafi rozwiązywać proste problemy z zakresu statyki, w szczególności: umie uwalniać od więzów, redukować układy sił i momentów oraz układać równania równowagi ciał obciążonych dowolnym układem sił i momentów.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																					Student potrafi wykorzystać rachunek wektorowy w statyce niutonowskiej.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														Student umie określić zakres stosowalności metod statyki niutonowskiej.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ML.NW108_K01: </w:t>
      </w:r>
    </w:p>
    <w:p>
      <w:pPr/>
      <w:r>
        <w:rPr/>
        <w:t xml:space="preserve">																					Student umie komunikować się w zakresie dotyczącym statyki.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2026-08-19T18:53:18+02:00</dcterms:created>
  <dcterms:modified xsi:type="dcterms:W3CDTF">2026-08-19T18:53:18+02:00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