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ML.NK316_W2: </w:t>
      </w:r>
    </w:p>
    <w:p>
      <w:pPr/>
      <w:r>
        <w:rPr/>
        <w:t xml:space="preserve">Rozumie działanie podstawowych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ML.NK316_W4: </w:t>
      </w:r>
    </w:p>
    <w:p>
      <w:pPr/>
      <w:r>
        <w:rPr/>
        <w:t xml:space="preserve"> Zna podstawowe prawa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ML.NK316_U1: </w:t>
      </w:r>
    </w:p>
    <w:p>
      <w:pPr/>
      <w:r>
        <w:rPr/>
        <w:t xml:space="preserve">	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ML.NK316_U3: </w:t>
      </w:r>
    </w:p>
    <w:p>
      <w:pPr/>
      <w:r>
        <w:rPr/>
        <w:t xml:space="preserve">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ML.NK316_K1: </w:t>
      </w:r>
    </w:p>
    <w:p>
      <w:pPr/>
      <w:r>
        <w:rPr/>
        <w:t xml:space="preserve">	Potrafi pracować w grupie, wspólnie rozwiązywać zadania i analizować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2026-10-03T12:29:46+02:00</dcterms:created>
  <dcterms:modified xsi:type="dcterms:W3CDTF">2026-10-03T12:29:46+02:00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