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ML.PR_A_U1: </w:t>
      </w:r>
    </w:p>
    <w:p>
      <w:pPr/>
      <w:r>
        <w:rPr/>
        <w:t xml:space="preserve">Potrafi porozumiewać się przy użyciu różnych technik w środowisku zawodowym.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ML.PR_A_U3: </w:t>
      </w:r>
    </w:p>
    <w:p>
      <w:pPr/>
      <w:r>
        <w:rPr/>
        <w:t xml:space="preserve">Ma przygotowanie niezbędne do pracy w środowisku przemysłowym oraz zna zasady bezpieczeństwa związane z ta pracą.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współdziałać i pracować w grupie, przyjmując w niej różne role.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ML.PR_A_K4: </w:t>
      </w:r>
    </w:p>
    <w:p>
      <w:pPr/>
      <w:r>
        <w:rPr/>
        <w:t xml:space="preserve">Potrafi myśleć i działać w sposób przedsiębiorczy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2025-07-08T13:13:22+02:00</dcterms:created>
  <dcterms:modified xsi:type="dcterms:W3CDTF">2025-07-08T13:13:22+02:00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