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35 godz. - przygotowywanie się studenta do ćwiczeń, zadania domowe,
b)	15 godz - przygotowanie się do kolokwiów,
c)	15  godz. -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ECTS-  liczba godzin kontaktowych : 64, w tym:
a)	wykłady - 30 godz.,
b)	ćwiczenia – 30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Student wie, jak rozwiązywać proste problemy z zakresu mechaniki niutonowskiej.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Student wie, jak rozwiązywać proste problemy z zakresu mechaniki niutonowskiej.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								Student wie, jak wykorzystać rachunek różniczkowy i całkowy w zagadnieniach kinematyki i dynamiki.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								Student wie, jak wykorzystać rachunek różniczkowy i całkowy w zagadnieniach kinematyki i dynamiki.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							Student zna zakres stosowalności kinematyki i dynamiki niutonowskiej. Zna paradygmat tej dyscypliny.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							Student zna zakres stosowalności kinematyki i dynamiki niutonowskiej. Zna paradygmat tej dyscypliny.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Student umie rozwiązywać proste problemy z zakresu kinematyki i 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Student umie wykorzystać podstawy rachunku różniczkowego i całkowego w kinematyce i dynamice.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Student umie wykorzystać podstawy rachunku różniczkowego i całkowego w kinematyce i dynamice.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Student umie określić obszar zagadnień, gdzie można skutecznie stosować narzędzia mechaniki niutonowskiej.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ML.NW115_K1: </w:t>
      </w:r>
    </w:p>
    <w:p>
      <w:pPr/>
      <w:r>
        <w:rPr/>
        <w:t xml:space="preserve">							Student umie komunikować się w zakresie dotyczącym kinematyki i 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2026-06-16T21:12:50+02:00</dcterms:created>
  <dcterms:modified xsi:type="dcterms:W3CDTF">2026-06-16T21:12:50+02:00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