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+ 15h ćwiczeń + 10h przygotowanie się do testu + 5h analiza studiów przypadków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10h wykład + 15h ćwiczeń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15h ćwiczeń + 10h przygotowanie się do testu + 5h analiza studiów przypadków + 10h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Komunikacji wewnętrzna i zewnętrzna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komunikacją wewnętrzna i zewnętrzna; public relations, modelami komunikacji stosowanymi w organizacjach; sytuacjami potencjalnie kryzysowymi; przygotowaniem księgi zarządzania kryzysowego; uwarunkowaniami oraz założeniami komunikacji kryzysowej; powołaniem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Zasady skutecznego komunikowania się. Komunikacja wewnętrzna i zewnętrzna; Omówienie zasad zaliczenia i celów przedmiotu (2h)
2.	Public relations, modele komunikacji stosowane w organizacjach. Omówienie sytuacji potencjalnie kryzysowych.(2h)
3.	Księga zarządzania kryzysowego.(2h)
4.	Uwarunkowania oraz założenia komunikacji kryzysowej. Sztab kryzysowy.(2h)
5.	Zaliczenie przedmiotu.(2h)
B. Ćwiczenia: 
1.	Obieg informacji na potrzeby zarządzania kryzysowego (ogólny- przygotowanie karty procesu „komunikacja”). (2 h)
2.	Przygotowanie procedury informowania: Informowanie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polega: aktywność podczas zajęć, indywidualne zaliczenie testu teoretycznego.
2.	Ocena sumatywna : suma punktów uzyskanych z dwóch części zaliczenia (aktywność+ test): max 50 (ocena 5,0), wymaganych min 26 (ocena 3,0).
B. Ćwiczenia: 
3.	Ocena formatywna: ocenie polega: aktywność podczas zajęć, scenariusze kryzysu.
4.	Ocena sumatywna : suma punktów uzyskanych z dwóch części zaliczenia (aktywność+ scenariusze kryzysu): max 50 (ocena 5,0), wymaganych min 26 (ocena 3,0).
E. 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2017, Skuteczna komunikacja w nowoczesnej organizacji, Warszawa: Difin
2.	Hamilton Ch., 2011, Skuteczna komunikacja w biznesie, Warszawa: PWN
3.	Wójcik K., 2015, Public relations, Wiarygodny dialog z otoczeniem, Warszawa: Wolters Kluwer Polska
4.	Kaczmarek T., Ćwiek G., 2009, Ryzyko kryzysu a ciągłość działania, Warszawa: Difin
Uzupełniająca:
1.	Kosieradzka A., Zawiła-Niedźwiecki J., (red.), 2016, Zaawansowana metodyka oceny ryzyka w publicznym zarządzaniu kryzysowym, Kraków-Legionowo: edu-Libri,. 
2.	Cornelissen J., 2010, Komunikacja korporacyjna. Przewodnik po teorii i praktyce, Warszawa: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 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funk-cjonowania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 : </w:t>
      </w:r>
    </w:p>
    <w:p>
      <w:pPr/>
      <w:r>
        <w:rPr/>
        <w:t xml:space="preserve">Absolwent jest gotów pracować w zespole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2026-10-01T20:05:04+02:00</dcterms:created>
  <dcterms:modified xsi:type="dcterms:W3CDTF">2026-10-01T20:05:04+02:00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