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+ 13h rozwiązywanie praktycznych problemów + 5h przygotowanie do zaliczenia testów + 5h studiowanie literatury +2h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Wykład: 
1. Ocena formatywna: ocena znajomości zagadnień poruszanych podczas wykładu, w formie testu.
2. Ocena sumatywna : przeprowadzenie jednego kolokwium końcowego, zawierającego pytania testowe; ocena z kolokwium w zakresie 2-5; do zaliczenia wymagane jest uzyskanie oceny &gt;=3.
Ćwiczenia: 
1. Ocena formatywna: ocena poprawności ćwiczeń wykonanych przez studentów podczas kolejnych zajęć; 
2. Ocena sumatywna: ocena wykonywanych ćwiczeń w skali punktowej, ocena z ćwiczeń w zakresie 2-5; do zaliczenia wymagane jest uzyskanie oceny &gt;=3;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Wawak S., 2011, Zarządzanie jakością - podstawy, systemy i narzędzia, Gliwice: Helion 
4.	S.Tkaczyk (red.); 2010, Quality Management: Selected Aspects, A Study Prepared In Fulfilment Of The Goals Of The Centre For Quality Studies At The Faculty Of Management, Warsaw University Of Technology, Warszawa 
Uzupełniająca:
1.	Imaii M., 2007, Kaizen. Klucz do konkurencyjnego sukcesu Japonii, Warszawa: MT Biznes 
2.	Szczepańska K., 2009, Metody i techniki w TQM, , Warszawa: Oficyna Wydawnicza Politechniki Warszawskiej 
3.	Huber Z., 2007, Analiza FMEA procesu, Poznań: Złote Myśli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Z2_WG4: </w:t>
      </w:r>
    </w:p>
    <w:p>
      <w:pPr/>
      <w:r>
        <w:rPr/>
        <w:t xml:space="preserve">Absolwent zna i rozumie w pogłębionym stopniu wybrane metody i techniki organizatorskie, w tym metody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metod doskonalenia jakości w zarządzaniu
</w:t>
      </w:r>
    </w:p>
    <w:p>
      <w:pPr>
        <w:spacing w:before="60"/>
      </w:pPr>
      <w:r>
        <w:rPr/>
        <w:t xml:space="preserve">Weryfikacja: </w:t>
      </w:r>
    </w:p>
    <w:p>
      <w:pPr>
        <w:spacing w:before="20" w:after="190"/>
      </w:pPr>
      <w:r>
        <w:rPr/>
        <w:t xml:space="preserve">Wykład – kolokwium pisemne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jakości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zastosowania modeli doskonalenia jakości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wdrażań modele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2026-02-06T23:18:53+01:00</dcterms:created>
  <dcterms:modified xsi:type="dcterms:W3CDTF">2026-02-06T23:18:53+01:00</dcterms:modified>
</cp:coreProperties>
</file>

<file path=docProps/custom.xml><?xml version="1.0" encoding="utf-8"?>
<Properties xmlns="http://schemas.openxmlformats.org/officeDocument/2006/custom-properties" xmlns:vt="http://schemas.openxmlformats.org/officeDocument/2006/docPropsVTypes"/>
</file>