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finansami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75h = 15h wykład + 15h ćwiczenia + 3h konsultacje + 12h analiza literatury + 15h przygotowanie do zaliczenia ćwiczeń + 15h przygotowanie do zaliczenia wykładu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finansów oraz rachunkowości.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12 osób do limitu miejsc w sali ćwiczeniowej (ćwiczenia)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pozyskanie przez studentów wiedzy z zakresu kategorii, formuł i koncepcji finansowych stosowanych w zarządzaniu przedsiębiorstwem, pozwalającej ocenić i wspomagać procesy decyzyjne w aktualnych warunkach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do finansów przedsiębiorstw.
2.	Instrumenty rynku finansowego.
3.	Instrumenty pochodne.
4.	Wycena papierów wartościowych. Średni wazony koszt kapitału.
5.	Modele wyceny aktywów kapitałowych.
6.	Ryzyko i zwrot z rynkowego portfela aktywów.
7.	Struktura kapitału i wartość przedsiębiorstwa. Zarządzanie wartością przedsiębiorstwa.
8.	Zarządzanie majątkiem i kapitałem obrotowym.
9.	Zarządzanie wynikiem finansowym.
Ćwiczenia:
1.	Instrumenty rynku kapitałowego.
2.	Szacowanie cen kontraktów terminowych.
3.	Koszt kapitałowy akcji i obligacji. Średni ważony koszt kapitału.
4.	Pomiar i struktura ryzyka.
5.	Zarządzanie płynnością i kapitałem obrotowym.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	Ocena formatywna: ocena nabytej przez studentów wiedzy podczas zajęć wykładowych prowadzonych w formie interaktywnej.
2.	Ocena sumatywna : ocena z zaliczenia pisemnego, zawierającego pytania testowe; ocena w zakresie 2–5; do zaliczenia wymagane jest uzyskanie oceny &gt;=3.
Ćwiczenia: 
1.	Ocena formatywna: ocena poprawności wykonanych ćwiczeń.
2.	Ocena sumatywna: ocena z zaliczenia pisemnego, zawierającego zadania; ocena z zaliczenia w zakresie 2-5; do zaliczenia wymagane jest uzyskanie oceny &gt;=3.
Ocena końcowa  z przedmiotu: 
Przedmiot uznaje się za zaliczony, jeśli zarówno ocena z wykładu, jak i ćwiczeń &gt;=3; Ocena z przedmiotu jest obliczana zgodnie z formułą: 0,5 * ocena z wykładu + 0,5 *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Jaworski J., 2021. Teoria i praktyka zarządzania finansami przedsiębiorstw. Warszawa: CeDeWu.
2.	Bera A., Bielawska A. (red), 2009. Nowoczesne zarządzanie finansami przedsiębiorstwa. Warszawa: Wydawnictwo C.H. Beck.
3.	Pazio W. J., 2006. Zarządzanie finansami. Repetytorium. Warszawa: OWPW.
4.	Titman S., Keown A.J., Martin J.D., 2014. Financial management principles and applications. Harlow: Pearson Education Limited.
5.	Ross S.A., Westerfield R., Jordan B.D., 2013. Fundamentals of corporate finance. New York: McGraw-Hill/Irwin.
Uzupełniająca: 
1.	Jajuga K., Jajuga T., 2015. Inwestycje: instrumenty finansowe, ryzyko finansowe, inżynieria finansowa. Warszawa: Wydawnictwo Naukowe PWN.
2.	Gąsiorkiewicz L., Pazio W. J., 2018. Mierniki oceny bieżącej i inwestycyjnej działalności przedsiębiorstw. Warszawa: OWPW.
3.	Dębski W., 2013. Teoretyczne i praktyczne aspekty zarządzania finansami przedsiębiorstwa.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Z2_WK10: </w:t>
      </w:r>
    </w:p>
    <w:p>
      <w:pPr/>
      <w:r>
        <w:rPr/>
        <w:t xml:space="preserve">Absolwent zna i rozumie w pogłębionym stopniu uwarunkowania (finansowe i ekonomiczne) w obszarze zarządzania finansami w warunkach gospodarki cyfrowej i globalizacji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pisemny
Ćwiczenia – 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z zakresu zarządzania finansami do komunikowania się z interesariuszami organizacji na tematy związane z obszarem zarządzania oraz technologii w warunkach zrównoważonego rozwoju oraz gospodarki globalnej.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pracy grupowej i indywidualnej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Z2_UW1: </w:t>
      </w:r>
    </w:p>
    <w:p>
      <w:pPr/>
      <w:r>
        <w:rPr/>
        <w:t xml:space="preserve">Absolwent potrafi wykorzystywać posiadaną wiedzę do formułowania i rozwiązywania problemów  napotykanych w procesie zarządzania finansami organizacji w warunkach gospodarki cyfrowej i globalizacji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pisemny
Ćwiczenia – 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Z2_KK1, Z2_KK3: </w:t>
      </w:r>
    </w:p>
    <w:p>
      <w:pPr/>
      <w:r>
        <w:rPr/>
        <w:t xml:space="preserve">Absolwent rozumie, jak istotna jest jego własna wiedza z zakresu finansów dla funkcjonowania i rozwiązywania problemów finansowych przedsiębiorstwa. Jest gotów do jej krytycznej oceny i zasięgania opinii ekspertów w tej dziedzinie.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pracy grupowej i indywidualnej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Student posiada zdolność porządkowania wykonywanych zadań według stopnia ich ważności z punktu widzenia realizacji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2026-05-02T06:12:46+02:00</dcterms:created>
  <dcterms:modified xsi:type="dcterms:W3CDTF">2026-05-02T06:12:46+02:00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