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zbioru zabezpieczeń dla organizacji </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+ 10h kons. grupowe,indywidualne + 10h zapoznanie się ze wskazana literaturą + 5h przygotowanie do zajęć + 5h przygotowanie raportu,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+ 10h kons. grupowe,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+ 10h kons. grupowe, indywidualne + 10h zapoznanie się ze wskazana literaturą + 5h przygotowanie do zajęć + 5h przygotowanie raportu, prezentacji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zarządzanie ryzykiem, 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integracja umiejętności studenta nabytych w toku tak aby student mógł przygotować projekt zabezpieczeń redukujących ryzyko wybranych zagrożeń w obszarze technicznym, fizycznym, osobowym, prawnym, teleinformatycznym, sterowania przemysłowego oraz opracować plan ciągłości działania </w:t>
      </w:r>
    </w:p>
    <w:p>
      <w:pPr>
        <w:keepNext w:val="1"/>
        <w:spacing w:after="10"/>
      </w:pPr>
      <w:r>
        <w:rPr>
          <w:b/>
          <w:bCs/>
        </w:rPr>
        <w:t xml:space="preserve">Treści kształcenia: </w:t>
      </w:r>
    </w:p>
    <w:p>
      <w:pPr>
        <w:spacing w:before="20" w:after="190"/>
      </w:pPr>
      <w:r>
        <w:rPr/>
        <w:t xml:space="preserve">Wariant 1: Model sytuacji i planowanie ciągłości działania procesu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ryzyka dla zagrożeń
7.	Opracowanie planu ciągłości działania dla wybranego zagrożenia
8.	Prezentacja wyników
9.	Prezentacja wyników
Wariant 2: Model sytuacji procesu i ocena ryzyka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poziomu ryzyka dla zagrożeń
7.	Sformułowanie problemu decyzyjnego
8.	Opracowanie zbioru zabezpieczeń dla rozpatrywanego problemu decyzyjnego
9.	Prezentacja wyników
10.	Prezentacja wyników
Wariant 3: Symulacja efektu kaskadowego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Wygenerowania scenariuszy zdarzeń niekorzystnych (model)
7.	Wygenerowania scenariuszy zdarzeń niekorzystnych (symulacja)
8.	Oszacowanie ryzyka dla procesu
9.	Przyjęcie strategii postępowania z ryzykiem
10.	Prezentacja wyników
11.	Prezentacja wyników</w:t>
      </w:r>
    </w:p>
    <w:p>
      <w:pPr>
        <w:keepNext w:val="1"/>
        <w:spacing w:after="10"/>
      </w:pPr>
      <w:r>
        <w:rPr>
          <w:b/>
          <w:bCs/>
        </w:rPr>
        <w:t xml:space="preserve">Metody oceny: </w:t>
      </w:r>
    </w:p>
    <w:p>
      <w:pPr>
        <w:spacing w:before="20" w:after="190"/>
      </w:pPr>
      <w:r>
        <w:rPr/>
        <w:t xml:space="preserve">D. Projekt:
1. Ocena formatywna: Raport, Prezentacja (wykonywane osobiście przez studenta)
2. Ocena sumatywna: Ocena na skali 2,0; 3,0; 3,5; 4,0; 4,5;, 5,0 (Max. 80 pkt. z raportu i max. 20 pkt z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Wiśniewski, M,. 2019. Zarządzanie sytuacyjne bezpieczeństwem infrastruktury krytycznej państwa, Warszawa: Wydział Zarządzania Politechniki Warszawskiej
2.	Kosieradzka, A., Zawiła-Niedźwiecki, J., 2016. Zaawansowana metodyka oceny ryzyka w publicznym zarządzaniu kryzysowym, Kraków: Edu-libri
3.	Lidwa, W., Krzeszowski, W., Więcek, W., Kamiński, P., 2012. Ochrona infrastruktury krytycznej. Warszawa: AON.
Uzupełniająca:
1.	Skomra W., 2018. Panowanie nad ryzykiem w ramach publicznego zarządzania kryzysowego, Warszawa: BEL Studio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biznesowych. 
Praca indywidualna na zajęciach projektowych.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Student zna w zaawansowanym stopniu teorię oraz ogólną metodologię badań w zakresie zarządzania, ze szczególnym uwzględnieniem systemów i procesów zarządzania bezpieczeństwem infrastruktury krytycznej w obszarze identyfikacji zagrożeń i wskazywania dla nich metod zabezpieczenia oraz opracowywania planów ciągłości działania.</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Student zna  zasady identyfikacji zagrożeń oraz anali-zy i zarządzania ryzykiem w zakresie obowiązujących teorii, podejść i metod.</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eksperymenty, w tym pomiary i symulacje komputerowe, interpretować uzyskane wyniki i wyciągać wnioski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Student potrafi dokonywać krytycznej analizy stanu obecnego oraz jego niewystarczalności w stosunku do stanu oczekiwanego</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 </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2026-02-07T18:56:46+01:00</dcterms:created>
  <dcterms:modified xsi:type="dcterms:W3CDTF">2026-02-07T18:56:46+01:00</dcterms:modified>
</cp:coreProperties>
</file>

<file path=docProps/custom.xml><?xml version="1.0" encoding="utf-8"?>
<Properties xmlns="http://schemas.openxmlformats.org/officeDocument/2006/custom-properties" xmlns:vt="http://schemas.openxmlformats.org/officeDocument/2006/docPropsVTypes"/>
</file>