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
Przedmiot prowadzony z wykorzystaniem nowoczesnych metod projektowania i kształcenia - Design Thinking</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IM2_W04,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IM2_W08, IM2_W09, IM2_W11, IM2_W12</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IM2_U09, IM2_U10, IM2_U11, IM2_U12, IM2_U17, IM2_U01, IM2_U05, IM2_U08</w:t>
      </w:r>
    </w:p>
    <w:p>
      <w:pPr>
        <w:spacing w:before="20" w:after="190"/>
      </w:pPr>
      <w:r>
        <w:rPr>
          <w:b/>
          <w:bCs/>
        </w:rPr>
        <w:t xml:space="preserve">Powiązane charakterystyki obszarowe: </w:t>
      </w:r>
      <w:r>
        <w:rPr/>
        <w:t xml:space="preserve">III.P7S_UW.2.o, III.P7S_UW.4.o, I.P7S_UW, III.P7S_UW.3.o, I.P7S_UU,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2025-04-12T01:48:51+02:00</dcterms:created>
  <dcterms:modified xsi:type="dcterms:W3CDTF">2025-04-12T01:48:51+02:00</dcterms:modified>
</cp:coreProperties>
</file>

<file path=docProps/custom.xml><?xml version="1.0" encoding="utf-8"?>
<Properties xmlns="http://schemas.openxmlformats.org/officeDocument/2006/custom-properties" xmlns:vt="http://schemas.openxmlformats.org/officeDocument/2006/docPropsVTypes"/>
</file>