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w inżynierii powierzchni/ Technologies in Surface Engineering</w:t>
      </w:r>
    </w:p>
    <w:p>
      <w:pPr>
        <w:keepNext w:val="1"/>
        <w:spacing w:after="10"/>
      </w:pPr>
      <w:r>
        <w:rPr>
          <w:b/>
          <w:bCs/>
        </w:rPr>
        <w:t xml:space="preserve">Koordynator przedmiotu: </w:t>
      </w:r>
    </w:p>
    <w:p>
      <w:pPr>
        <w:spacing w:before="20" w:after="190"/>
      </w:pPr>
      <w:r>
        <w:rPr/>
        <w:t xml:space="preserve">dr inż. Maciej Ossowski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TECHWIP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praca własna studenta i przygotowanie się do kolokwium zaliczeniowego 20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Powierzchni – wykład i laboratorium Fizykochemiczne Podstawy Inżynierii Powierzchni – wykład Materiały metaliczne polimerowe, ceramiczne – wykłady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Wykorzystanie nowoczesnych technik inżynierii powierzchni w kształtowaniu właściwości materiałów konstrukcyjnych i funkcjonalnych tj. materiałów metalicznych, polimerowych, ceramicznych i kompozytów, ze szczególnym zwróceniem uwagi na technologie hybrydowe łączące różne metody obróbek powierzchniowych oraz obróbki powierzchniowe stopów aluminium, magnezu, tytanu, niklu i stali wysokostopowych.</w:t>
      </w:r>
    </w:p>
    <w:p>
      <w:pPr>
        <w:keepNext w:val="1"/>
        <w:spacing w:after="10"/>
      </w:pPr>
      <w:r>
        <w:rPr>
          <w:b/>
          <w:bCs/>
        </w:rPr>
        <w:t xml:space="preserve">Treści kształcenia: </w:t>
      </w:r>
    </w:p>
    <w:p>
      <w:pPr>
        <w:spacing w:before="20" w:after="190"/>
      </w:pPr>
      <w:r>
        <w:rPr/>
        <w:t xml:space="preserve">Projektowanie właściwości materiałów metalicznych, polimerowych, ceramicznych i kompozytów metodami inżynierii powierzchni. Dobór technologii inżynierii powierzchni w zależności od rodzaju materiałów konstrukcyjnych i funkcjonalnych. Hybrydowe obróbki powierzchniowe w kształtowaniu właściwości użytkowych stopów aluminium, magnezu, tytanu, niklu i stali wysokostopowych. Przykłady zastosowań. Metody osadzania powłok laserem impulsowym, metoda natryskiwania naddźwiękowego (High Velosity Oxy- Fuel Thermal Spraying), metoda MOCVD (Metalorganic Chemical Vapour Deposition) ze zwróceniem uwagi na zastosowanie wywarzanych warstw dla elektroniki - metody: MBE (Molecular Beam Epitazy), HVPE (Halide Vapour Phase Epitaxy) oraz sposoby wytwarzania warstw węglika krzemu (homo i heteroepitaksja), metody: IBAD (Ion Beam Assisted Deposition) i IBSD (Ion Beam Sputtering Deposition) na przykładzie wytwarzania powłok węglowych. Obróbki jarzeniowe w technologiach hybrydowych. </w:t>
      </w:r>
    </w:p>
    <w:p>
      <w:pPr>
        <w:keepNext w:val="1"/>
        <w:spacing w:after="10"/>
      </w:pPr>
      <w:r>
        <w:rPr>
          <w:b/>
          <w:bCs/>
        </w:rPr>
        <w:t xml:space="preserve">Metody oceny: </w:t>
      </w:r>
    </w:p>
    <w:p>
      <w:pPr>
        <w:spacing w:before="20" w:after="190"/>
      </w:pPr>
      <w:r>
        <w:rPr/>
        <w:t xml:space="preserve">kollokwium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Wierzchoń, Współczesna inżynieria powierzchni w Postępach nauki o materiałach i inżynierii materiałowej, praca zbiorowa pod redakcją M. Hetmańczyka, Gliwice 2002. 
2. B. Major, Ablacja i osadzanie laserem impulsowym, Wyd. Akapit, Kraków 2002.
3. M. Polowczyk. E. Klugmann, Przyrządy półprzewodnikowe, Wyd. Politechniki Gdańskiej, 2001.
4. G.B. Stringfellow, Organometallic Vapour Phase Epitazy, Theory and Practice, Academic Press, Boston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TIP_W1: </w:t>
      </w:r>
    </w:p>
    <w:p>
      <w:pPr/>
      <w:r>
        <w:rPr/>
        <w:t xml:space="preserve">Ma wiedzę w zakresie zaawansowanych technologii inżynierii powierzchni</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TIP_U1: </w:t>
      </w:r>
    </w:p>
    <w:p>
      <w:pPr/>
      <w:r>
        <w:rPr/>
        <w:t xml:space="preserve">Na podstawie wiedzy nabytej w trakcie wykładu lub przeprowadzonej analizy fachowej literatury student potrafi zastoswać właściwą technologię inżynierii powierzchni w celu wytworzenia określonej warstwy powierzchniowej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IM2_U01, IM2_U05, IM2_U13</w:t>
      </w:r>
    </w:p>
    <w:p>
      <w:pPr>
        <w:spacing w:before="20" w:after="190"/>
      </w:pPr>
      <w:r>
        <w:rPr>
          <w:b/>
          <w:bCs/>
        </w:rPr>
        <w:t xml:space="preserve">Powiązane charakterystyki obszarowe: </w:t>
      </w:r>
      <w:r>
        <w:rPr/>
        <w:t xml:space="preserve">I.P7S_UW, I.P7S_UU,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2026-10-02T22:59:56+02:00</dcterms:created>
  <dcterms:modified xsi:type="dcterms:W3CDTF">2026-10-02T22:59:56+02:00</dcterms:modified>
</cp:coreProperties>
</file>

<file path=docProps/custom.xml><?xml version="1.0" encoding="utf-8"?>
<Properties xmlns="http://schemas.openxmlformats.org/officeDocument/2006/custom-properties" xmlns:vt="http://schemas.openxmlformats.org/officeDocument/2006/docPropsVTypes"/>
</file>