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13
4. Godziny pracy samodzielnej studenta w ramach przygotowania do egzaminu, sprawdzianu, zaliczenia etc.	8
Sumaryczny nakład pracy studenta	57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Ćwiczenia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wieloskalowe.</w:t>
      </w:r>
    </w:p>
    <w:p>
      <w:pPr>
        <w:keepNext w:val="1"/>
        <w:spacing w:after="10"/>
      </w:pPr>
      <w:r>
        <w:rPr>
          <w:b/>
          <w:bCs/>
        </w:rPr>
        <w:t xml:space="preserve">Metody oceny: </w:t>
      </w:r>
    </w:p>
    <w:p>
      <w:pPr>
        <w:spacing w:before="20" w:after="190"/>
      </w:pPr>
      <w:r>
        <w:rPr/>
        <w:t xml:space="preserve">1. sprawdzian pisemny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M. Henczka, W. Podgórska, Obliczenia w inżynierii bioreaktorów, Oficyna Wydawnicza Politechniki Warszawskiej, 2012.
2. E. Molga, Procesy adsorpcji reaktywnej: reaktory adsorpcyjne i chromatograficzne, Wydawnictwo Naukowo- Techniczne, 2008.
3. S. Sieniutycz, Optymalizacja w inżynierii procesowej, Wydawnictwo Naukowo-Techniczne, 1991.
4. A. Burghardt, G. Bartelmus, Inżynieria reaktorów chemicznych, T.1 i T.2, Wydaw. Nauk. PWN, 2001.
5. Z. Jaworski, Numeryczna mechanika płynów w inżynierii chemicznej i procesowej, Akademicka Oficyna Wydawnicza Exit, 2005.
6. R. Lech, Modelowanie matematyczne w technologii ceramiki: przykłady, AGH Uczelniane Wydawnictwa Naukowo-Dydaktyczne,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dwa bezpośrednio po zakończeniu wykładów w sesji zimowej.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Warunkiem zaliczenia projektu jest: złożenie projektu w terminie, poprawne wykonanie projektu oraz zaliczenie ustnego sprawdzianu (tzw. obrona projektu). Projekt może być zaliczony, jeżeli student uzyska co najmniej 60% maksymalnej liczby punktów za projekt. Projekt oceniany jest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i zaliczenie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 K2_U05,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U5: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KS2: </w:t>
      </w:r>
    </w:p>
    <w:p>
      <w:pPr/>
      <w:r>
        <w:rPr/>
        <w:t xml:space="preserve">Potrafi myśleć i działać w sposób kreatywny i przedsiębiorczy.</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2026-10-02T18:31:19+02:00</dcterms:created>
  <dcterms:modified xsi:type="dcterms:W3CDTF">2026-10-02T18:31:19+02:00</dcterms:modified>
</cp:coreProperties>
</file>

<file path=docProps/custom.xml><?xml version="1.0" encoding="utf-8"?>
<Properties xmlns="http://schemas.openxmlformats.org/officeDocument/2006/custom-properties" xmlns:vt="http://schemas.openxmlformats.org/officeDocument/2006/docPropsVTypes"/>
</file>