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 w tym:
a) uczestnictwo w wykładach - 15 godz
b) uczestnictwo w zajęciach w laboratorium komput. - 30 godz
c) udział w konsultacjach  - 5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godz, w tym:
a) uczestnictwo w wykładach - 15 godz
b) uczestnictwo w zajęciach w laboratorium komput. - 30 godz
c)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Analizy wielokryterialne, metodyka analiz; metoda WLC i OWA, poziom ryzyka, kompensacja kryteriów. Analizy przydatności terenu dla określonego celu, aktywności gospodarczej, rodzaju inwestycji, itp. Przegląd zastosowań praktycznych z zakresu analiz przydatności terenu. 
Metodyka rozwiązywania zadań z zakresu analiz przydatności terenu w przypadku określenia celów sprzecznych (konfliktowych). Wielokryterialna analiza porównawcza – przykład analizy wariantów obwodnicy. Projektowanie optymalnych połączeń na określonej powierzchni terenu; metodyka, pojęcie ‘odległości’ ważonej kosztami, powierzchnia kosztów względnych i skumulowanych.
Analizy z wykorzystaniem danych NMT i modelu pokrycia terenu, w tym analiza widoczności terenu; przykładowe zastosowania. 
Modelowanie zjawiska erozji; erozja potencjalna, model USLE. 
Analizy krajobrazu, wskaźniki struktury krajobrazu (Fragstat, Idrisi). Badanie zmian, metody analizy zmian czasowych. 
Modelowanie z wykorzystaniem SIP, generowanie różnych scenariuszy i prognoz. Rola analiz przestrzennych i modelowania w procesie podejmowania decyzji oraz w rozwiązywaniu bieżących problemów i realizacji potrzeb społeczno-gospodarczych.
Systemy wspierania decyzji, systemy ekspertowe, bazy wiedzy; analizy oparte o wiedzę i
wieloźródłowe dane, informacje, agregacja wiedzy, informacji z różnych źródeł, wnioskowanie numeryczne (D-S) oraz przybliżone, przegląd wybranych zagadnień. 
Problem oceny jakości rezultatów analiz przestrzennych; znaczenie jakości danych wejściowych, propagacja błędów, analiza wrażliwości, ocena poziomu ryzyka.
Ćwiczenia projektowe. Przykładowe realizacje: 
Projekt 1:
A) Analizy wielokryterialne przydatności terenu dla określonej inwestycji / aktywności. Podejście  ostre i mieszane (zastosowanie narzędzi logiki rozmytej). Przegląd źródeł danych do kryteriów analiz przestrzennych z punktu widzenia inwestora lub jednostki samorządu terytorialnego. Metodyka WLC, wyznaczanie wag, w tym z wykorzystaniem metody AHP. 
B) Rozwiązywanie zadań z zakresu analiz przydatności terenu w przypadku określenia celów konfliktowych (sprzecznych); praca zespołowa z uwzględnieniem określonej metodyki.
C) Wybór optymalnej lokalizacji inwestycji / aktywności z zastosowaniem technologii map kosztów i wyznaczania optymalnego połączenia z wybranymi obiektami istniejącej infrastruktury technicznej.
Budowa i testowanie uniwersalności modelu geoprzetwarzania dla opisanej metodyki analiz przestrzennych. 
Projekt 2:
Przykład analizy opartej o wiedzę i wieloźródłowe dane; wnioskowanie numeryczne (D-S) w ramach systemu wspierania decyzji; rozszerzenie o elementy analizy dokładności oraz modelowanie niepewności.
Projekt3:
Zadanie z zakresu modelowania zjawiska erozji (model RUSLE) lub oceny podatności naturalnej wód podziemnych na zanieczyszczenia (model DRASTIC). Budowa modelu / skryptu geoprzetwarzania, ocena wyników modelowania w zależności od dokładności / szczegółowości danych źródłowych.
</w:t>
      </w:r>
    </w:p>
    <w:p>
      <w:pPr>
        <w:keepNext w:val="1"/>
        <w:spacing w:after="10"/>
      </w:pPr>
      <w:r>
        <w:rPr>
          <w:b/>
          <w:bCs/>
        </w:rPr>
        <w:t xml:space="preserve">Metody oceny: </w:t>
      </w:r>
    </w:p>
    <w:p>
      <w:pPr>
        <w:spacing w:before="20" w:after="190"/>
      </w:pPr>
      <w:r>
        <w:rPr/>
        <w:t xml:space="preserve">Zaliczenie wykładów -  sprawdzian.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Jacek, Jaroszewicz Joanna: Podstawy analiz wielokryterialnych w systemach informacji geograficznej, 2018, Oficyna Wydawnicza Politechniki Warszawskiej, ISBN 978-83-7814-762-6, 254 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2026-07-29T22:25:51+02:00</dcterms:created>
  <dcterms:modified xsi:type="dcterms:W3CDTF">2026-07-29T22:25:51+02:00</dcterms:modified>
</cp:coreProperties>
</file>

<file path=docProps/custom.xml><?xml version="1.0" encoding="utf-8"?>
<Properties xmlns="http://schemas.openxmlformats.org/officeDocument/2006/custom-properties" xmlns:vt="http://schemas.openxmlformats.org/officeDocument/2006/docPropsVTypes"/>
</file>