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GIK.1725.W: </w:t>
      </w:r>
    </w:p>
    <w:p>
      <w:pPr/>
      <w:r>
        <w:rPr/>
        <w:t xml:space="preserve">zna podstawowe założenia idei modelowania informacji o budynku (BIM), jej cechy, zalety, korzyści oraz narzędzia informatyczne; rozróżnia systemy informacyjne CAD, GIS i BIM oraz dostrzega możliwości ich stosowania w różnych przypadkach; zna podstawowe otwarte standardy BIM oraz rozumie ideę openBIM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 znajomości procesu oraz narzędzi BIM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GIK.1725.U: </w:t>
      </w:r>
    </w:p>
    <w:p>
      <w:pPr/>
      <w:r>
        <w:rPr/>
        <w:t xml:space="preserve">Potrafi dokonać przeglądu literatury z zakresu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GIK.1725.K: </w:t>
      </w:r>
    </w:p>
    <w:p>
      <w:pPr/>
      <w:r>
        <w:rPr/>
        <w:t xml:space="preserve">Zna miejsce poszczególnych interesariuszy w procesie inwestycyjnym prowadzonym w BIM i potrafi określić swoje miejsce w tym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2026-05-02T06:10:15+02:00</dcterms:created>
  <dcterms:modified xsi:type="dcterms:W3CDTF">2026-05-02T06:10:15+02:00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