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omawia zagadnienia związane z projektowaniem ekologicznym, zrównoważonym rozwojem.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obiekty usługowe z zakresu handlu, biur, kultury, przemysłu, oświaty, rozwiązania ekologiczne w budownictwie, rozwój zrównoważony w budownictwie.
</w:t>
      </w:r>
    </w:p>
    <w:p>
      <w:pPr>
        <w:keepNext w:val="1"/>
        <w:spacing w:after="10"/>
      </w:pPr>
      <w:r>
        <w:rPr>
          <w:b/>
          <w:bCs/>
        </w:rPr>
        <w:t xml:space="preserve">Metody oceny: </w:t>
      </w:r>
    </w:p>
    <w:p>
      <w:pPr>
        <w:spacing w:before="20" w:after="190"/>
      </w:pPr>
      <w:r>
        <w:rPr/>
        <w:t xml:space="preserve">Zaliczenie wykładu w formie testu lub prezentacji, której temat zostanie przedstawiony na wykładzie.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2026-09-30T18:58:00+02:00</dcterms:created>
  <dcterms:modified xsi:type="dcterms:W3CDTF">2026-09-30T18:58:00+02:00</dcterms:modified>
</cp:coreProperties>
</file>

<file path=docProps/custom.xml><?xml version="1.0" encoding="utf-8"?>
<Properties xmlns="http://schemas.openxmlformats.org/officeDocument/2006/custom-properties" xmlns:vt="http://schemas.openxmlformats.org/officeDocument/2006/docPropsVTypes"/>
</file>