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omawia zagadnienia związane z projektowaniem ekologicznym, zrównoważonym rozwojem.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obiekty usługowe z zakresu handlu, biur, kultury, przemysłu, oświaty, rozwiązania ekologiczne w budownictwie, rozwój zrównoważony w budownictwie.
</w:t>
      </w:r>
    </w:p>
    <w:p>
      <w:pPr>
        <w:keepNext w:val="1"/>
        <w:spacing w:after="10"/>
      </w:pPr>
      <w:r>
        <w:rPr>
          <w:b/>
          <w:bCs/>
        </w:rPr>
        <w:t xml:space="preserve">Metody oceny: </w:t>
      </w:r>
    </w:p>
    <w:p>
      <w:pPr>
        <w:spacing w:before="20" w:after="190"/>
      </w:pPr>
      <w:r>
        <w:rPr/>
        <w:t xml:space="preserve">Zaliczenie wykładu w formie testu lub prezentacji, której temat zostanie przedstawiony na wykładzie.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2026-10-21T21:37:35+02:00</dcterms:created>
  <dcterms:modified xsi:type="dcterms:W3CDTF">2026-10-21T21:37:35+02:00</dcterms:modified>
</cp:coreProperties>
</file>

<file path=docProps/custom.xml><?xml version="1.0" encoding="utf-8"?>
<Properties xmlns="http://schemas.openxmlformats.org/officeDocument/2006/custom-properties" xmlns:vt="http://schemas.openxmlformats.org/officeDocument/2006/docPropsVTypes"/>
</file>