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związanych z realizacją ćwiczeń - 5 godzin
2. Praca własna studenta – 25 godzin, w tym: 
a) zapoznanie się ze wskazaną literaturą -  5 godzin,
b)  realizacja zadań projektowych w domu - 10 godzin
c) przygotowanie do zaliczenia - 10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 wykładach - 15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godzin, w tym: 
a) uczestnictwo w ćwiczeniach - 30 godzin
b) udział w konsultacjach związanych z realizacją ćwiczeń - 5 godzin
c)  realizacja zadań projektowych w domu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działka gruntu. Zbiory informacji o gruntach, budynkach i lokalach w katastrze oraz źródła pozyskania danych, atrybuty obiektów katastralnych. Dane dotyczące podmiotów w katastrze oraz źródła danych podmiotowych w katastrze. Raporty obrazujące dane katastralne. Powiązania katastru z innymi rejestrami publicznymi, w tym: księgami wieczystymi, rejestrem TERYT, REGON, PESEL oraz systemem podatkowym. Wymiana informacji między rejestrami oraz zasady bieżącej aktualizacji katastru nieruchomości. 
Ćwiczenia: 
Analiza zgodności treści mapy ewidencyjnej wybranego obrębu z wymogami rozporządzenia Ministra Rozwoju, Pracy i Technologii z dnia 27 lipca 2021 w sprawie ewidencji gruntów i budynków. Badanie aktualności treści mapy ewidencyjnej w zakresie użytków gruntowych z wykorzystaniem innych źródeł informacji (ortofotomapa, mapa zasadnicza). Praktyczne korzystanie z istniejących systemów informatycznych w jakich prowadzony jest kataster (EWMAPA, EWOPIS i inne) – praca na zbiorach zawartych w komputerowych bazach danych, tworzenie wypisów i wyrysów z komputerowych baz danych katastralnych. Określanie pola powierzchni użytkowej lokalu, sporządzenie kartoteki lokalu, a także obliczenie udziału właściciela lokalu wyodrębnionego w nieruchomości wspólnej. Sporządzanie kartotek budynków. Korzystanie z systemu internetowego udostępniania informacji katastralnej.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GP.SIK329_W1: </w:t>
      </w:r>
    </w:p>
    <w:p>
      <w:pPr/>
      <w:r>
        <w:rPr/>
        <w:t xml:space="preserve">ma wiedzę na temat podstawowych zasad funkcjonowania katastru w Polsce w ujęciu prawnym i technicznym,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sprawdzianach pisemnych obejmujących zagadnienia omawiane na wykładach</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GP.SIK329_U1: </w:t>
      </w:r>
    </w:p>
    <w:p>
      <w:pPr/>
      <w:r>
        <w:rPr/>
        <w:t xml:space="preserve">potrafi wskazać na sposób pozyskania niezbędnych danych do założenia i aktualizacji katastru nieruchomości oraz ocenić jakość danych katastralnych</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K_U02, K_U03, K_U04, K_U06, K_U11, K_U14</w:t>
      </w:r>
    </w:p>
    <w:p>
      <w:pPr>
        <w:spacing w:before="20" w:after="190"/>
      </w:pPr>
      <w:r>
        <w:rPr>
          <w:b/>
          <w:bCs/>
        </w:rPr>
        <w:t xml:space="preserve">Powiązane efekty obszarowe: </w:t>
      </w:r>
      <w:r>
        <w:rPr/>
        <w:t xml:space="preserve">T1A_U01, T1A_U02, T1A_U03, T1A_U03, T1A_U04, T1A_U05, T1A_U07, T1A_U10, T1A_U09, T1A_U13, T1A_U15</w:t>
      </w:r>
    </w:p>
    <w:p>
      <w:pPr>
        <w:pStyle w:val="Heading3"/>
      </w:pPr>
      <w:bookmarkStart w:id="4" w:name="_Toc4"/>
      <w:r>
        <w:t>Profil ogólnoakademicki - kompetencje społeczne</w:t>
      </w:r>
      <w:bookmarkEnd w:id="4"/>
    </w:p>
    <w:p>
      <w:pPr>
        <w:keepNext w:val="1"/>
        <w:spacing w:after="10"/>
      </w:pPr>
      <w:r>
        <w:rPr>
          <w:b/>
          <w:bCs/>
        </w:rPr>
        <w:t xml:space="preserve">Efekt GP.SIK329_K1: </w:t>
      </w:r>
    </w:p>
    <w:p>
      <w:pPr/>
      <w:r>
        <w:rPr/>
        <w:t xml:space="preserve">ma świadomość ważności zadania jakim jest prowadzenie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T1A_K01,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2026-08-22T06:31:29+02:00</dcterms:created>
  <dcterms:modified xsi:type="dcterms:W3CDTF">2026-08-22T06:31:29+02:00</dcterms:modified>
</cp:coreProperties>
</file>

<file path=docProps/custom.xml><?xml version="1.0" encoding="utf-8"?>
<Properties xmlns="http://schemas.openxmlformats.org/officeDocument/2006/custom-properties" xmlns:vt="http://schemas.openxmlformats.org/officeDocument/2006/docPropsVTypes"/>
</file>