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wyrównawczy (z elementami informatyki)</w:t>
      </w:r>
    </w:p>
    <w:p>
      <w:pPr>
        <w:keepNext w:val="1"/>
        <w:spacing w:after="10"/>
      </w:pPr>
      <w:r>
        <w:rPr>
          <w:b/>
          <w:bCs/>
        </w:rPr>
        <w:t xml:space="preserve">Koordynator przedmiotu: </w:t>
      </w:r>
    </w:p>
    <w:p>
      <w:pPr>
        <w:spacing w:before="20" w:after="190"/>
      </w:pPr>
      <w:r>
        <w:rPr/>
        <w:t xml:space="preserve">dr inż. Marcin Rajner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- 15 godz.,
zapoznanie się ze wskazaną literaturą - 15 godz.,
przygotowanie do zaliczenia egzaminu - 15 godz.,
Razem 93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 48 godzin w tym
obecność na wykładach - 15 godz.,
obecność na ćwiczeniach - 30 godz.,
obecność na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Algebra liniowa i statystyka matematyczna (kursy na pierwszym stopniu GiK PW)
</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Poznanie podstaw statystycznych oraz wzorów macierzowych realizujących metody wyrównawcze
Efekty kształcenia – umiejętności i kompetencje: rozumienie metod wyrównania obserwacji geodezyjnych w stopniu umożliwiającym ich stosowanie w różnych działach geodezji i kartografii.
</w:t>
      </w:r>
    </w:p>
    <w:p>
      <w:pPr>
        <w:keepNext w:val="1"/>
        <w:spacing w:after="10"/>
      </w:pPr>
      <w:r>
        <w:rPr>
          <w:b/>
          <w:bCs/>
        </w:rPr>
        <w:t xml:space="preserve">Treści kształcenia: </w:t>
      </w:r>
    </w:p>
    <w:p>
      <w:pPr>
        <w:spacing w:before="20" w:after="190"/>
      </w:pPr>
      <w:r>
        <w:rPr/>
        <w:t xml:space="preserve">Metody wyrównania i analizy dokładności obserwacji geodezyjnych– metoda parametryczna, metoda warunkowa. Ujęcie macierzowe i numeryczne. MNK jako rzut. Linearyzacja zadań nieliniowych.  Mieszane metody wyrównania – metoda parametryczna z warunkami wiążącymi parametry, metoda warunkowa z parametrami. Wyrównanie obserwacji zależnych. 
Zagadnienia optymalizacyjne: wyrównanie nieliniowe i odporne. Elementy projektowania dokładnościowego.
Ćwiczenia lab.  Praktyczne wykonywanie obliczeń wyrównawczych za pomocą aplikacji Matlab/Octave
</w:t>
      </w:r>
    </w:p>
    <w:p>
      <w:pPr>
        <w:keepNext w:val="1"/>
        <w:spacing w:after="10"/>
      </w:pPr>
      <w:r>
        <w:rPr>
          <w:b/>
          <w:bCs/>
        </w:rPr>
        <w:t xml:space="preserve">Metody oceny: </w:t>
      </w:r>
    </w:p>
    <w:p>
      <w:pPr>
        <w:spacing w:before="20" w:after="190"/>
      </w:pPr>
      <w:r>
        <w:rPr/>
        <w:t xml:space="preserve">Ocena wiedzy i umiejętności na egzaminie pisemnym, ocena wiedzy i umiejętności związanych z realizacją zadań obliczeniowych. Umiejętności praktyczne sprawdzane są podczas zaliczenia ćwiczeń w laboratorium komputerowym.
Do zaliczenia ćwiczeń wymagane jest: uzyskanie pozytywnych ocen obu projektów, które będą wykonywane etapami na zajęciach i w domu. Wszystkie etapy podlegają ocenie, co stanowi ocenę całego projektu. Ocena końcowa z ćwiczeń to ocena z projektów (i kartkówek oraz odpowiedzi ustnych, jeżeli były). Prowadzący ćwiczenia dopuszczają wyrywkowe sprawdzenie przygotowania do zajęć (kartkówka, odpowiedź ustna). 
Na koniec semestru, prowadzący pozostawiają sobie możliwość sprawdzenia samodzielności wykonania projektów niezależnie od ich oceny. Kontrola ta nie wymaga dodatkowego przygotowania studenta. Pytania będą dotyczyły przedstawionych programów i sprawozdań. Stwierdzenie niesamodzielności wykonania oddanego projektu powoduje jego niezaliczenie.
Do egzaminu dopuszczone są tylko osoby, które mają zaliczone ćwiczenia. Egzamin odbywa się w formie pisemnej w wyznaczonych terminach w sesji egzaminacyjnej.
Ocenę łączną stanowi średnia ważona z egzaminu z wagą  0,55 oraz zaliczenia ćwiczeń z wagą 0,45 (pod warunkiem pozytywnych ocen z egzaminu i ćwiczeń), prowadzący ma prawo do korekty oceny o pół stopnia.
Oceny wpisywane są według zasady:  5,0 – pięć (4,76 – 5,0); 4,5 – cztery i pół (4,26-4,74), 4,0 –cztery (3,76-4,25), 3,5-trzy i pół (3,26-3,75), 3,0-trzy (3,0-3,25).
Dopuszczalne są dwie nieobecności na ćwiczeniach. W uzasadnionych przypadkach prowadzący może odstąpić od tej zasady.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Warszawa, 2007
4. Nowak E.: Algorytmy numeryczne w geodezji. Oficyna Wydawnicza PW
5. Hausbrandt St.: Rachunek wyrównawczy i obliczenia geodezyjne. T. 1 i 2. PPWK.
6. Wiśniewski Zb.: Rachunek wyrównawczy w geodezji (z przykładami). Wydawnictwo UWM.
</w:t>
      </w:r>
    </w:p>
    <w:p>
      <w:pPr>
        <w:keepNext w:val="1"/>
        <w:spacing w:after="10"/>
      </w:pPr>
      <w:r>
        <w:rPr>
          <w:b/>
          <w:bCs/>
        </w:rPr>
        <w:t xml:space="preserve">Witryna www przedmiotu: </w:t>
      </w:r>
    </w:p>
    <w:p>
      <w:pPr>
        <w:spacing w:before="20" w:after="190"/>
      </w:pPr>
      <w:r>
        <w:rPr/>
        <w:t xml:space="preserve">www.grat.gik.pw.edu.pl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GK.SIK313_W01: </w:t>
      </w:r>
    </w:p>
    <w:p>
      <w:pPr/>
      <w:r>
        <w:rPr/>
        <w:t xml:space="preserve">zna rachunek prawdopodobieństwa i elementy teorii estymacji
zna zasady wyrównania sieci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T1A_W07, T1A_W03, T1A_W04, T1A_W07</w:t>
      </w:r>
    </w:p>
    <w:p>
      <w:pPr>
        <w:pStyle w:val="Heading3"/>
      </w:pPr>
      <w:bookmarkStart w:id="3" w:name="_Toc3"/>
      <w:r>
        <w:t>Profil ogólnoakademicki - umiejętności</w:t>
      </w:r>
      <w:bookmarkEnd w:id="3"/>
    </w:p>
    <w:p>
      <w:pPr>
        <w:keepNext w:val="1"/>
        <w:spacing w:after="10"/>
      </w:pPr>
      <w:r>
        <w:rPr>
          <w:b/>
          <w:bCs/>
        </w:rPr>
        <w:t xml:space="preserve">Efekt GK.SIK313_U01: </w:t>
      </w:r>
    </w:p>
    <w:p>
      <w:pPr/>
      <w:r>
        <w:rPr/>
        <w:t xml:space="preserve">potrafi wykorzystać metody  matematyczne do wykonywania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K_U07, K_U09, K_U17</w:t>
      </w:r>
    </w:p>
    <w:p>
      <w:pPr>
        <w:spacing w:before="20" w:after="190"/>
      </w:pPr>
      <w:r>
        <w:rPr>
          <w:b/>
          <w:bCs/>
        </w:rPr>
        <w:t xml:space="preserve">Powiązane efekty obszarowe: </w:t>
      </w:r>
      <w:r>
        <w:rPr/>
        <w:t xml:space="preserve">T1A_U09, T1A_U10, T1A_U08, T1A_U09, T1A_U13, T1A_U14, T1A_U16</w:t>
      </w:r>
    </w:p>
    <w:p>
      <w:pPr>
        <w:pStyle w:val="Heading3"/>
      </w:pPr>
      <w:bookmarkStart w:id="4" w:name="_Toc4"/>
      <w:r>
        <w:t>Profil ogólnoakademicki - kompetencje społeczne</w:t>
      </w:r>
      <w:bookmarkEnd w:id="4"/>
    </w:p>
    <w:p>
      <w:pPr>
        <w:keepNext w:val="1"/>
        <w:spacing w:after="10"/>
      </w:pPr>
      <w:r>
        <w:rPr>
          <w:b/>
          <w:bCs/>
        </w:rPr>
        <w:t xml:space="preserve">Efekt GK.SIK313_K01: </w:t>
      </w:r>
    </w:p>
    <w:p>
      <w:pPr/>
      <w:r>
        <w:rPr/>
        <w:t xml:space="preserve">ma świadomość odpowiedzialności za wyniki pracy</w:t>
      </w:r>
    </w:p>
    <w:p>
      <w:pPr>
        <w:spacing w:before="60"/>
      </w:pPr>
      <w:r>
        <w:rPr/>
        <w:t xml:space="preserve">Weryfikacja: </w:t>
      </w:r>
    </w:p>
    <w:p>
      <w:pPr>
        <w:spacing w:before="20" w:after="190"/>
      </w:pPr>
      <w:r>
        <w:rPr/>
        <w:t xml:space="preserve">zaliczenie odpowiednich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2026-07-28T15:34:23+02:00</dcterms:created>
  <dcterms:modified xsi:type="dcterms:W3CDTF">2026-07-28T15:34:23+02:00</dcterms:modified>
</cp:coreProperties>
</file>

<file path=docProps/custom.xml><?xml version="1.0" encoding="utf-8"?>
<Properties xmlns="http://schemas.openxmlformats.org/officeDocument/2006/custom-properties" xmlns:vt="http://schemas.openxmlformats.org/officeDocument/2006/docPropsVTypes"/>
</file>