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EK1: </w:t>
      </w:r>
    </w:p>
    <w:p>
      <w:pPr/>
      <w:r>
        <w:rPr/>
        <w:t xml:space="preserve">Dysponuje wiedzą z zakresu zastosowań typowych metod argumentowania w dyskursie prawniczym oraz w administracji.	</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EK2: </w:t>
      </w:r>
    </w:p>
    <w:p>
      <w:pPr/>
      <w:r>
        <w:rPr/>
        <w:t xml:space="preserve">Potrafi stosować wiedzę o podstawowych technikach argumentowania do analizy dyskursu prawniczego, aktów prawnych i dokumentów urzędowych.	</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EK3: </w:t>
      </w:r>
    </w:p>
    <w:p>
      <w:pPr/>
      <w:r>
        <w:rPr/>
        <w:t xml:space="preserve">Ma świadomość społecznej roli stosowania zasad argumentowania w prawie i w administracji oraz możliwości ich wykorzystania również w innych dziedzinach życia społecznego, takich jak debata publiczna, polemika prasowa lub argumentacja w mediach społecznościowych.</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2026-08-19T03:44:24+02:00</dcterms:created>
  <dcterms:modified xsi:type="dcterms:W3CDTF">2026-08-19T03:44:24+02:00</dcterms:modified>
</cp:coreProperties>
</file>

<file path=docProps/custom.xml><?xml version="1.0" encoding="utf-8"?>
<Properties xmlns="http://schemas.openxmlformats.org/officeDocument/2006/custom-properties" xmlns:vt="http://schemas.openxmlformats.org/officeDocument/2006/docPropsVTypes"/>
</file>